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1F" w:rsidRPr="00A16F46" w:rsidRDefault="008F6F1F" w:rsidP="008F6F1F">
      <w:pPr>
        <w:pStyle w:val="1"/>
        <w:rPr>
          <w:kern w:val="0"/>
        </w:rPr>
      </w:pPr>
      <w:bookmarkStart w:id="0" w:name="_Toc493596676"/>
      <w:bookmarkStart w:id="1" w:name="_Toc523820384"/>
      <w:r w:rsidRPr="00A16F46">
        <w:rPr>
          <w:kern w:val="0"/>
        </w:rPr>
        <w:t>公共管理专业学位硕士研究生培养方案</w:t>
      </w:r>
      <w:bookmarkEnd w:id="0"/>
      <w:bookmarkEnd w:id="1"/>
    </w:p>
    <w:p w:rsidR="008F6F1F" w:rsidRPr="00A16F46" w:rsidRDefault="008F6F1F" w:rsidP="008F6F1F">
      <w:pPr>
        <w:pStyle w:val="2"/>
        <w:rPr>
          <w:rFonts w:ascii="Times New Roman" w:hAnsi="Times New Roman" w:cs="Times New Roman"/>
        </w:rPr>
      </w:pPr>
      <w:r w:rsidRPr="00A16F46">
        <w:rPr>
          <w:rFonts w:ascii="Times New Roman" w:hAnsi="Times New Roman" w:cs="Times New Roman"/>
        </w:rPr>
        <w:t>学科门类：专业学位专业领域代码：</w:t>
      </w:r>
      <w:r w:rsidRPr="00A16F46">
        <w:rPr>
          <w:rFonts w:ascii="Times New Roman" w:hAnsi="Times New Roman" w:cs="Times New Roman"/>
        </w:rPr>
        <w:t>125200</w:t>
      </w:r>
    </w:p>
    <w:p w:rsidR="008F6F1F" w:rsidRPr="00A16F46" w:rsidRDefault="008F6F1F" w:rsidP="008F6F1F">
      <w:pPr>
        <w:pStyle w:val="2"/>
        <w:rPr>
          <w:rFonts w:ascii="Times New Roman" w:hAnsi="Times New Roman" w:cs="Times New Roman"/>
          <w:u w:val="single"/>
        </w:rPr>
      </w:pPr>
      <w:r w:rsidRPr="00A16F46">
        <w:rPr>
          <w:rFonts w:ascii="Times New Roman" w:hAnsi="Times New Roman" w:cs="Times New Roman"/>
          <w:spacing w:val="-10"/>
        </w:rPr>
        <w:t>专业领域</w:t>
      </w:r>
      <w:r w:rsidRPr="00A16F46">
        <w:rPr>
          <w:rFonts w:ascii="Times New Roman" w:hAnsi="Times New Roman" w:cs="Times New Roman"/>
        </w:rPr>
        <w:t>名称：</w:t>
      </w:r>
      <w:r w:rsidRPr="00A16F46">
        <w:rPr>
          <w:rFonts w:ascii="Times New Roman" w:hAnsi="Times New Roman" w:cs="Times New Roman"/>
          <w:spacing w:val="-5"/>
          <w:kern w:val="1"/>
        </w:rPr>
        <w:t>公共管理</w:t>
      </w:r>
      <w:r w:rsidRPr="00A16F46">
        <w:rPr>
          <w:rFonts w:ascii="Times New Roman" w:hAnsi="Times New Roman" w:cs="Times New Roman"/>
          <w:kern w:val="0"/>
        </w:rPr>
        <w:t>硕士</w:t>
      </w:r>
    </w:p>
    <w:p w:rsidR="008F6F1F" w:rsidRPr="00A16F46" w:rsidRDefault="008F6F1F" w:rsidP="008F6F1F">
      <w:pPr>
        <w:widowControl/>
        <w:spacing w:line="300" w:lineRule="auto"/>
        <w:jc w:val="center"/>
        <w:rPr>
          <w:rFonts w:eastAsiaTheme="minorEastAsia"/>
          <w:kern w:val="0"/>
          <w:szCs w:val="21"/>
        </w:rPr>
      </w:pPr>
    </w:p>
    <w:p w:rsidR="008F6F1F" w:rsidRPr="00A16F46" w:rsidRDefault="008F6F1F" w:rsidP="008F6F1F">
      <w:pPr>
        <w:pStyle w:val="3"/>
        <w:ind w:firstLine="482"/>
        <w:rPr>
          <w:rFonts w:ascii="Times New Roman" w:hAnsi="Times New Roman"/>
          <w:b/>
          <w:kern w:val="0"/>
          <w:sz w:val="24"/>
          <w:szCs w:val="24"/>
        </w:rPr>
      </w:pPr>
      <w:r w:rsidRPr="00A16F46">
        <w:rPr>
          <w:rFonts w:ascii="Times New Roman" w:hAnsi="Times New Roman"/>
          <w:b/>
          <w:sz w:val="24"/>
          <w:szCs w:val="24"/>
        </w:rPr>
        <w:t>一、学科</w:t>
      </w:r>
      <w:r w:rsidRPr="00A16F46">
        <w:rPr>
          <w:rFonts w:ascii="Times New Roman" w:hAnsi="Times New Roman"/>
          <w:b/>
          <w:kern w:val="0"/>
          <w:sz w:val="24"/>
          <w:szCs w:val="24"/>
        </w:rPr>
        <w:t>简介</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南京信息工程大学于</w:t>
      </w:r>
      <w:r w:rsidRPr="00A16F46">
        <w:rPr>
          <w:rFonts w:eastAsiaTheme="minorEastAsia"/>
          <w:kern w:val="0"/>
          <w:szCs w:val="21"/>
        </w:rPr>
        <w:t>2014</w:t>
      </w:r>
      <w:r w:rsidRPr="00A16F46">
        <w:rPr>
          <w:rFonts w:eastAsiaTheme="minorEastAsia"/>
          <w:kern w:val="0"/>
          <w:szCs w:val="21"/>
        </w:rPr>
        <w:t>年申报并获批公共管理专业（</w:t>
      </w:r>
      <w:r w:rsidRPr="00A16F46">
        <w:rPr>
          <w:rFonts w:eastAsiaTheme="minorEastAsia"/>
          <w:kern w:val="0"/>
          <w:szCs w:val="21"/>
        </w:rPr>
        <w:t>MPA</w:t>
      </w:r>
      <w:r w:rsidRPr="00A16F46">
        <w:rPr>
          <w:rFonts w:eastAsiaTheme="minorEastAsia"/>
          <w:kern w:val="0"/>
          <w:szCs w:val="21"/>
        </w:rPr>
        <w:t>）硕士学位授予权，</w:t>
      </w:r>
      <w:r w:rsidRPr="00A16F46">
        <w:rPr>
          <w:rFonts w:eastAsiaTheme="minorEastAsia"/>
          <w:kern w:val="0"/>
          <w:szCs w:val="21"/>
        </w:rPr>
        <w:t>2015</w:t>
      </w:r>
      <w:r w:rsidRPr="00A16F46">
        <w:rPr>
          <w:rFonts w:eastAsiaTheme="minorEastAsia"/>
          <w:kern w:val="0"/>
          <w:szCs w:val="21"/>
        </w:rPr>
        <w:t>年开始招收全日制专业硕士。南京信息工程大学公共管理专业（</w:t>
      </w:r>
      <w:r w:rsidRPr="00A16F46">
        <w:rPr>
          <w:rFonts w:eastAsiaTheme="minorEastAsia"/>
          <w:kern w:val="0"/>
          <w:szCs w:val="21"/>
        </w:rPr>
        <w:t>MPA</w:t>
      </w:r>
      <w:r w:rsidRPr="00A16F46">
        <w:rPr>
          <w:rFonts w:eastAsiaTheme="minorEastAsia"/>
          <w:kern w:val="0"/>
          <w:szCs w:val="21"/>
        </w:rPr>
        <w:t>）主要依托法政学院，凸显气象行业特色，设置了政府改革与治理、政府应急管理、公共气象管理、高等教育管理等稳定的研究方向，形成了气候政治与法律、国际气候谈判、气候伦理特色研究方向。目前，学校成立了</w:t>
      </w:r>
      <w:r w:rsidRPr="00A16F46">
        <w:rPr>
          <w:rFonts w:eastAsiaTheme="minorEastAsia"/>
          <w:kern w:val="0"/>
          <w:szCs w:val="21"/>
        </w:rPr>
        <w:t>“</w:t>
      </w:r>
      <w:r w:rsidRPr="00A16F46">
        <w:rPr>
          <w:rFonts w:eastAsiaTheme="minorEastAsia"/>
          <w:kern w:val="0"/>
          <w:szCs w:val="21"/>
        </w:rPr>
        <w:t>南京信息工程大学</w:t>
      </w:r>
      <w:r w:rsidRPr="00A16F46">
        <w:rPr>
          <w:rFonts w:eastAsiaTheme="minorEastAsia"/>
          <w:kern w:val="0"/>
          <w:szCs w:val="21"/>
        </w:rPr>
        <w:t>MPA</w:t>
      </w:r>
      <w:r w:rsidRPr="00A16F46">
        <w:rPr>
          <w:rFonts w:eastAsiaTheme="minorEastAsia"/>
          <w:kern w:val="0"/>
          <w:szCs w:val="21"/>
        </w:rPr>
        <w:t>教育中心</w:t>
      </w:r>
      <w:r w:rsidRPr="00A16F46">
        <w:rPr>
          <w:rFonts w:eastAsiaTheme="minorEastAsia"/>
          <w:kern w:val="0"/>
          <w:szCs w:val="21"/>
        </w:rPr>
        <w:t>”</w:t>
      </w:r>
      <w:r w:rsidRPr="00A16F46">
        <w:rPr>
          <w:rFonts w:eastAsiaTheme="minorEastAsia"/>
          <w:kern w:val="0"/>
          <w:szCs w:val="21"/>
        </w:rPr>
        <w:t>，与法政学院合署办公，全面负责南京信息工程大学</w:t>
      </w:r>
      <w:r w:rsidRPr="00A16F46">
        <w:rPr>
          <w:rFonts w:eastAsiaTheme="minorEastAsia"/>
          <w:kern w:val="0"/>
          <w:szCs w:val="21"/>
        </w:rPr>
        <w:t>MPA</w:t>
      </w:r>
      <w:r w:rsidRPr="00A16F46">
        <w:rPr>
          <w:rFonts w:eastAsiaTheme="minorEastAsia"/>
          <w:kern w:val="0"/>
          <w:szCs w:val="21"/>
        </w:rPr>
        <w:t>专业学位教学培养、日常管理、招生宣传和学位评估等事务工作。</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南京信息工程大学</w:t>
      </w:r>
      <w:r w:rsidRPr="00A16F46">
        <w:rPr>
          <w:rFonts w:eastAsiaTheme="minorEastAsia"/>
          <w:kern w:val="0"/>
          <w:szCs w:val="21"/>
        </w:rPr>
        <w:t>MPA</w:t>
      </w:r>
      <w:r w:rsidRPr="00A16F46">
        <w:rPr>
          <w:rFonts w:eastAsiaTheme="minorEastAsia"/>
          <w:kern w:val="0"/>
          <w:szCs w:val="21"/>
        </w:rPr>
        <w:t>的培养采取校内师资和校外师资相结合、国内师资和境外师资相结合、高校教师与政府官员相结合的方式，在立足法政学院现有师资基础之上，充分依托全校相关学科的师资力量，并不断开拓校外师资资源，聘请校外知名学者和具有丰富实际工作经验的高级官员担任客座教授或兼职教授，多年来我校</w:t>
      </w:r>
      <w:proofErr w:type="spellStart"/>
      <w:r w:rsidRPr="00A16F46">
        <w:rPr>
          <w:rFonts w:eastAsiaTheme="minorEastAsia"/>
          <w:kern w:val="0"/>
          <w:szCs w:val="21"/>
        </w:rPr>
        <w:t>MPA</w:t>
      </w:r>
      <w:proofErr w:type="spellEnd"/>
      <w:r w:rsidRPr="00A16F46">
        <w:rPr>
          <w:rFonts w:eastAsiaTheme="minorEastAsia"/>
          <w:kern w:val="0"/>
          <w:szCs w:val="21"/>
        </w:rPr>
        <w:t>教学科研和育人方面取得了较好成绩，受到国家和社会的好评，有较好的社会声誉和学术声誉。</w:t>
      </w:r>
    </w:p>
    <w:p w:rsidR="008F6F1F" w:rsidRPr="00A16F46" w:rsidRDefault="008F6F1F" w:rsidP="008F6F1F">
      <w:pPr>
        <w:pStyle w:val="3"/>
        <w:ind w:firstLine="482"/>
        <w:rPr>
          <w:rFonts w:ascii="Times New Roman" w:hAnsi="Times New Roman"/>
          <w:b/>
          <w:kern w:val="0"/>
          <w:sz w:val="24"/>
          <w:szCs w:val="24"/>
        </w:rPr>
      </w:pPr>
      <w:r w:rsidRPr="00A16F46">
        <w:rPr>
          <w:rFonts w:ascii="Times New Roman" w:hAnsi="Times New Roman"/>
          <w:b/>
          <w:sz w:val="24"/>
          <w:szCs w:val="24"/>
        </w:rPr>
        <w:t>二、</w:t>
      </w:r>
      <w:r w:rsidRPr="00A16F46">
        <w:rPr>
          <w:rFonts w:ascii="Times New Roman" w:hAnsi="Times New Roman"/>
          <w:b/>
          <w:kern w:val="0"/>
          <w:sz w:val="24"/>
          <w:szCs w:val="24"/>
        </w:rPr>
        <w:t>培养目标</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面向气象行业、政府部门和企事业单位，培养具备良好的政治思想素质和职业道德素养，系统掌握管理学、政治学、经济学、行政学、法学以及相关领域理论知识与技能，了解气象行业管理基本知识，具备较强的分析与解决公共管理实际问题能力的高层次、应用型、复合型公共管理专门人才。</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基本目标为：</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1</w:t>
      </w:r>
      <w:r w:rsidRPr="00A16F46">
        <w:rPr>
          <w:rFonts w:eastAsiaTheme="minorEastAsia"/>
          <w:kern w:val="0"/>
          <w:szCs w:val="21"/>
        </w:rPr>
        <w:t>．具备良好的政治素质和职业道德，有强烈的公共精神和社会责任感，具有团队合作精神和创新意识。</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2</w:t>
      </w:r>
      <w:r w:rsidRPr="00A16F46">
        <w:rPr>
          <w:rFonts w:eastAsiaTheme="minorEastAsia"/>
          <w:kern w:val="0"/>
          <w:szCs w:val="21"/>
        </w:rPr>
        <w:t>．掌握系统的公共管理基础理论、知识和方法，了解国内外公共管理的新发展和新特点，了解气象行业管理基本知识。</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3</w:t>
      </w:r>
      <w:r w:rsidRPr="00A16F46">
        <w:rPr>
          <w:rFonts w:eastAsiaTheme="minorEastAsia"/>
          <w:kern w:val="0"/>
          <w:szCs w:val="21"/>
        </w:rPr>
        <w:t>．掌握从事公共管理实践所需的信息技术、公文写作和实际管理等相关实务技能，能够综合运用管理、政治、经济、法律、现代科技等理论知识与方法解决公共管理实际问题，具有较强的依法行政能力、开拓创新精神和领导潜力。</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4</w:t>
      </w:r>
      <w:r w:rsidRPr="00A16F46">
        <w:rPr>
          <w:rFonts w:eastAsiaTheme="minorEastAsia"/>
          <w:kern w:val="0"/>
          <w:szCs w:val="21"/>
        </w:rPr>
        <w:t>．比较熟练的掌握和运用一门外国语，具有熟练阅读本专业外文资料的能力及较强的听、说、写、译能力。</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5</w:t>
      </w:r>
      <w:r w:rsidRPr="00A16F46">
        <w:rPr>
          <w:rFonts w:eastAsiaTheme="minorEastAsia"/>
          <w:kern w:val="0"/>
          <w:szCs w:val="21"/>
        </w:rPr>
        <w:t>．身心健康，毕业后能独立在政府部门、科研院所、第三部门及其他相关部门从事教育教学、科学研究、公共服务与管理工作。</w:t>
      </w:r>
    </w:p>
    <w:p w:rsidR="008F6F1F" w:rsidRPr="00A16F46" w:rsidRDefault="008F6F1F" w:rsidP="008F6F1F">
      <w:pPr>
        <w:pStyle w:val="3"/>
        <w:ind w:firstLine="482"/>
        <w:rPr>
          <w:rFonts w:ascii="Times New Roman" w:hAnsi="Times New Roman"/>
          <w:b/>
          <w:kern w:val="0"/>
          <w:sz w:val="24"/>
          <w:szCs w:val="24"/>
        </w:rPr>
      </w:pPr>
      <w:r w:rsidRPr="00A16F46">
        <w:rPr>
          <w:rFonts w:ascii="Times New Roman" w:hAnsi="Times New Roman"/>
          <w:b/>
          <w:sz w:val="24"/>
          <w:szCs w:val="24"/>
        </w:rPr>
        <w:t>三、</w:t>
      </w:r>
      <w:r w:rsidRPr="00A16F46">
        <w:rPr>
          <w:rFonts w:ascii="Times New Roman" w:hAnsi="Times New Roman"/>
          <w:b/>
          <w:kern w:val="0"/>
          <w:sz w:val="24"/>
          <w:szCs w:val="24"/>
        </w:rPr>
        <w:t>培养方向</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lastRenderedPageBreak/>
        <w:t>1</w:t>
      </w:r>
      <w:r w:rsidRPr="00A16F46">
        <w:rPr>
          <w:rFonts w:eastAsiaTheme="minorEastAsia"/>
          <w:kern w:val="0"/>
          <w:szCs w:val="21"/>
        </w:rPr>
        <w:t>．国家治理与政府改革；</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2</w:t>
      </w:r>
      <w:r w:rsidRPr="00A16F46">
        <w:rPr>
          <w:rFonts w:eastAsiaTheme="minorEastAsia"/>
          <w:kern w:val="0"/>
          <w:szCs w:val="21"/>
        </w:rPr>
        <w:t>．应急管理；</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3</w:t>
      </w:r>
      <w:r w:rsidRPr="00A16F46">
        <w:rPr>
          <w:rFonts w:eastAsiaTheme="minorEastAsia"/>
          <w:kern w:val="0"/>
          <w:szCs w:val="21"/>
        </w:rPr>
        <w:t>．公共气象管理；</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4</w:t>
      </w:r>
      <w:r w:rsidRPr="00A16F46">
        <w:rPr>
          <w:rFonts w:eastAsiaTheme="minorEastAsia"/>
          <w:kern w:val="0"/>
          <w:szCs w:val="21"/>
        </w:rPr>
        <w:t>．气候与环境治理；</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5</w:t>
      </w:r>
      <w:r w:rsidRPr="00A16F46">
        <w:rPr>
          <w:rFonts w:eastAsiaTheme="minorEastAsia"/>
          <w:kern w:val="0"/>
          <w:szCs w:val="21"/>
        </w:rPr>
        <w:t>．高等教育管理。</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四、学制和学习年限</w:t>
      </w:r>
    </w:p>
    <w:p w:rsidR="008F6F1F" w:rsidRPr="00A16F46" w:rsidRDefault="008F6F1F" w:rsidP="008F6F1F">
      <w:pPr>
        <w:widowControl/>
        <w:spacing w:line="300" w:lineRule="auto"/>
        <w:ind w:firstLineChars="200" w:firstLine="420"/>
        <w:rPr>
          <w:rFonts w:eastAsiaTheme="minorEastAsia"/>
          <w:kern w:val="0"/>
          <w:szCs w:val="21"/>
        </w:rPr>
      </w:pPr>
      <w:r w:rsidRPr="00A16F46">
        <w:rPr>
          <w:rFonts w:eastAsiaTheme="minorEastAsia"/>
          <w:kern w:val="0"/>
          <w:szCs w:val="21"/>
        </w:rPr>
        <w:t>学制为</w:t>
      </w:r>
      <w:r w:rsidRPr="00A16F46">
        <w:rPr>
          <w:rFonts w:eastAsiaTheme="minorEastAsia"/>
          <w:kern w:val="0"/>
          <w:szCs w:val="21"/>
        </w:rPr>
        <w:t>3</w:t>
      </w:r>
      <w:r w:rsidRPr="00A16F46">
        <w:rPr>
          <w:rFonts w:eastAsiaTheme="minorEastAsia"/>
          <w:kern w:val="0"/>
          <w:szCs w:val="21"/>
        </w:rPr>
        <w:t>年。学习年限实行弹性制，但最多不超过</w:t>
      </w:r>
      <w:r w:rsidRPr="00A16F46">
        <w:rPr>
          <w:rFonts w:eastAsiaTheme="minorEastAsia"/>
          <w:kern w:val="0"/>
          <w:szCs w:val="21"/>
        </w:rPr>
        <w:t>5</w:t>
      </w:r>
      <w:r w:rsidRPr="00A16F46">
        <w:rPr>
          <w:rFonts w:eastAsiaTheme="minorEastAsia"/>
          <w:kern w:val="0"/>
          <w:szCs w:val="21"/>
        </w:rPr>
        <w:t>年。</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五、课程设置及学分</w:t>
      </w:r>
    </w:p>
    <w:p w:rsidR="008F6F1F" w:rsidRPr="00B45779" w:rsidRDefault="008F6F1F" w:rsidP="008F6F1F">
      <w:pPr>
        <w:widowControl/>
        <w:spacing w:line="300" w:lineRule="auto"/>
        <w:ind w:firstLineChars="196" w:firstLine="412"/>
        <w:jc w:val="left"/>
        <w:rPr>
          <w:rFonts w:eastAsiaTheme="minorEastAsia"/>
          <w:bCs/>
          <w:szCs w:val="21"/>
        </w:rPr>
      </w:pPr>
      <w:r>
        <w:rPr>
          <w:rFonts w:eastAsiaTheme="minorEastAsia" w:hint="eastAsia"/>
          <w:bCs/>
          <w:szCs w:val="21"/>
        </w:rPr>
        <w:t>1</w:t>
      </w:r>
      <w:r>
        <w:rPr>
          <w:rFonts w:eastAsiaTheme="minorEastAsia" w:hint="eastAsia"/>
          <w:bCs/>
          <w:szCs w:val="21"/>
        </w:rPr>
        <w:t>．</w:t>
      </w:r>
      <w:r w:rsidRPr="00B45779">
        <w:rPr>
          <w:rFonts w:eastAsiaTheme="minorEastAsia" w:hint="eastAsia"/>
          <w:bCs/>
          <w:szCs w:val="21"/>
        </w:rPr>
        <w:t>课程设置（见附录</w:t>
      </w:r>
      <w:r w:rsidRPr="00B45779">
        <w:rPr>
          <w:rFonts w:eastAsiaTheme="minorEastAsia" w:hint="eastAsia"/>
          <w:bCs/>
          <w:szCs w:val="21"/>
        </w:rPr>
        <w:t>1</w:t>
      </w:r>
      <w:r w:rsidRPr="00B45779">
        <w:rPr>
          <w:rFonts w:eastAsiaTheme="minorEastAsia" w:hint="eastAsia"/>
          <w:bCs/>
          <w:szCs w:val="21"/>
        </w:rPr>
        <w:t>）</w:t>
      </w:r>
    </w:p>
    <w:p w:rsidR="008F6F1F" w:rsidRPr="00B45779" w:rsidRDefault="008F6F1F" w:rsidP="008F6F1F">
      <w:pPr>
        <w:widowControl/>
        <w:spacing w:line="300" w:lineRule="auto"/>
        <w:ind w:firstLineChars="196" w:firstLine="412"/>
        <w:jc w:val="left"/>
        <w:rPr>
          <w:rFonts w:eastAsiaTheme="minorEastAsia"/>
          <w:bCs/>
          <w:szCs w:val="21"/>
        </w:rPr>
      </w:pPr>
      <w:r>
        <w:rPr>
          <w:rFonts w:eastAsiaTheme="minorEastAsia" w:hint="eastAsia"/>
          <w:bCs/>
          <w:szCs w:val="21"/>
        </w:rPr>
        <w:t>2</w:t>
      </w:r>
      <w:r>
        <w:rPr>
          <w:rFonts w:eastAsiaTheme="minorEastAsia" w:hint="eastAsia"/>
          <w:bCs/>
          <w:szCs w:val="21"/>
        </w:rPr>
        <w:t>．</w:t>
      </w:r>
      <w:r w:rsidRPr="00B45779">
        <w:rPr>
          <w:rFonts w:eastAsiaTheme="minorEastAsia" w:hint="eastAsia"/>
          <w:bCs/>
          <w:szCs w:val="21"/>
        </w:rPr>
        <w:t>学分要求</w:t>
      </w:r>
    </w:p>
    <w:p w:rsidR="008F6F1F" w:rsidRPr="00B45779" w:rsidRDefault="008F6F1F" w:rsidP="008F6F1F">
      <w:pPr>
        <w:widowControl/>
        <w:spacing w:line="300" w:lineRule="auto"/>
        <w:ind w:firstLineChars="196" w:firstLine="412"/>
        <w:jc w:val="left"/>
        <w:rPr>
          <w:rFonts w:eastAsiaTheme="minorEastAsia"/>
          <w:bCs/>
          <w:szCs w:val="21"/>
        </w:rPr>
      </w:pPr>
      <w:r w:rsidRPr="00B45779">
        <w:rPr>
          <w:rFonts w:eastAsiaTheme="minorEastAsia" w:hint="eastAsia"/>
          <w:bCs/>
          <w:szCs w:val="21"/>
        </w:rPr>
        <w:t>课程学习实行学分制，硕士研究生必须修满</w:t>
      </w:r>
      <w:r w:rsidRPr="00B45779">
        <w:rPr>
          <w:rFonts w:eastAsiaTheme="minorEastAsia" w:hint="eastAsia"/>
          <w:bCs/>
          <w:szCs w:val="21"/>
        </w:rPr>
        <w:t>3</w:t>
      </w:r>
      <w:r>
        <w:rPr>
          <w:rFonts w:eastAsiaTheme="minorEastAsia" w:hint="eastAsia"/>
          <w:bCs/>
          <w:szCs w:val="21"/>
        </w:rPr>
        <w:t>8</w:t>
      </w:r>
      <w:r w:rsidRPr="00B45779">
        <w:rPr>
          <w:rFonts w:eastAsiaTheme="minorEastAsia" w:hint="eastAsia"/>
          <w:bCs/>
          <w:szCs w:val="21"/>
        </w:rPr>
        <w:t>学分的课程，其中，</w:t>
      </w:r>
      <w:r>
        <w:rPr>
          <w:rFonts w:eastAsiaTheme="minorEastAsia" w:hint="eastAsia"/>
          <w:bCs/>
          <w:szCs w:val="21"/>
        </w:rPr>
        <w:t>核心课</w:t>
      </w:r>
      <w:r>
        <w:rPr>
          <w:rFonts w:eastAsiaTheme="minorEastAsia" w:hint="eastAsia"/>
          <w:bCs/>
          <w:color w:val="FF0000"/>
          <w:szCs w:val="21"/>
        </w:rPr>
        <w:t>（公共基础课和</w:t>
      </w:r>
      <w:r w:rsidRPr="008872A7">
        <w:rPr>
          <w:rFonts w:eastAsiaTheme="minorEastAsia" w:hint="eastAsia"/>
          <w:bCs/>
          <w:color w:val="FF0000"/>
          <w:szCs w:val="21"/>
        </w:rPr>
        <w:t>基础</w:t>
      </w:r>
      <w:r>
        <w:rPr>
          <w:rFonts w:eastAsiaTheme="minorEastAsia" w:hint="eastAsia"/>
          <w:bCs/>
          <w:color w:val="FF0000"/>
          <w:szCs w:val="21"/>
        </w:rPr>
        <w:t>理论</w:t>
      </w:r>
      <w:r w:rsidRPr="008872A7">
        <w:rPr>
          <w:rFonts w:eastAsiaTheme="minorEastAsia" w:hint="eastAsia"/>
          <w:bCs/>
          <w:color w:val="FF0000"/>
          <w:szCs w:val="21"/>
        </w:rPr>
        <w:t>课）</w:t>
      </w:r>
      <w:r w:rsidR="004340FC">
        <w:rPr>
          <w:rFonts w:eastAsiaTheme="minorEastAsia" w:hint="eastAsia"/>
          <w:bCs/>
          <w:color w:val="FF0000"/>
          <w:szCs w:val="21"/>
        </w:rPr>
        <w:t>18</w:t>
      </w:r>
      <w:r w:rsidRPr="008872A7">
        <w:rPr>
          <w:rFonts w:eastAsiaTheme="minorEastAsia" w:hint="eastAsia"/>
          <w:bCs/>
          <w:color w:val="FF0000"/>
          <w:szCs w:val="21"/>
        </w:rPr>
        <w:t>学分，</w:t>
      </w:r>
      <w:r>
        <w:rPr>
          <w:rFonts w:eastAsiaTheme="minorEastAsia" w:hint="eastAsia"/>
          <w:bCs/>
          <w:color w:val="FF0000"/>
          <w:szCs w:val="21"/>
        </w:rPr>
        <w:t>专业方向必修课（专业技术课和实践教学课）</w:t>
      </w:r>
      <w:r>
        <w:rPr>
          <w:rFonts w:eastAsiaTheme="minorEastAsia" w:hint="eastAsia"/>
          <w:bCs/>
          <w:color w:val="FF0000"/>
          <w:szCs w:val="21"/>
        </w:rPr>
        <w:t>8</w:t>
      </w:r>
      <w:r>
        <w:rPr>
          <w:rFonts w:eastAsiaTheme="minorEastAsia" w:hint="eastAsia"/>
          <w:bCs/>
          <w:color w:val="FF0000"/>
          <w:szCs w:val="21"/>
        </w:rPr>
        <w:t>学分，</w:t>
      </w:r>
      <w:r w:rsidRPr="005D033E">
        <w:rPr>
          <w:rFonts w:eastAsiaTheme="minorEastAsia" w:hint="eastAsia"/>
          <w:bCs/>
          <w:color w:val="FF0000"/>
          <w:szCs w:val="21"/>
        </w:rPr>
        <w:t>选修课不少于</w:t>
      </w:r>
      <w:r w:rsidRPr="005D033E">
        <w:rPr>
          <w:rFonts w:eastAsiaTheme="minorEastAsia" w:hint="eastAsia"/>
          <w:bCs/>
          <w:color w:val="FF0000"/>
          <w:szCs w:val="21"/>
        </w:rPr>
        <w:t>8</w:t>
      </w:r>
      <w:r w:rsidRPr="005D033E">
        <w:rPr>
          <w:rFonts w:eastAsiaTheme="minorEastAsia" w:hint="eastAsia"/>
          <w:bCs/>
          <w:color w:val="FF0000"/>
          <w:szCs w:val="21"/>
        </w:rPr>
        <w:t>学分，社会实践</w:t>
      </w:r>
      <w:r w:rsidRPr="005D033E">
        <w:rPr>
          <w:rFonts w:eastAsiaTheme="minorEastAsia" w:hint="eastAsia"/>
          <w:bCs/>
          <w:color w:val="FF0000"/>
          <w:szCs w:val="21"/>
        </w:rPr>
        <w:t>4</w:t>
      </w:r>
      <w:r w:rsidRPr="005D033E">
        <w:rPr>
          <w:rFonts w:eastAsiaTheme="minorEastAsia" w:hint="eastAsia"/>
          <w:bCs/>
          <w:color w:val="FF0000"/>
          <w:szCs w:val="21"/>
        </w:rPr>
        <w:t>学分。</w:t>
      </w:r>
      <w:r w:rsidRPr="00B45779">
        <w:rPr>
          <w:rFonts w:eastAsiaTheme="minorEastAsia" w:hint="eastAsia"/>
          <w:bCs/>
          <w:szCs w:val="21"/>
        </w:rPr>
        <w:t>毕业论文不计学分。</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六、培养方式与方法</w:t>
      </w:r>
    </w:p>
    <w:p w:rsidR="008F6F1F" w:rsidRPr="00A16F46" w:rsidRDefault="008F6F1F" w:rsidP="008F6F1F">
      <w:pPr>
        <w:widowControl/>
        <w:spacing w:line="300" w:lineRule="auto"/>
        <w:ind w:firstLineChars="196" w:firstLine="412"/>
        <w:jc w:val="left"/>
        <w:rPr>
          <w:rFonts w:eastAsiaTheme="minorEastAsia"/>
          <w:bCs/>
          <w:szCs w:val="21"/>
        </w:rPr>
      </w:pPr>
      <w:r w:rsidRPr="00A16F46">
        <w:rPr>
          <w:rFonts w:eastAsiaTheme="minorEastAsia"/>
          <w:bCs/>
          <w:szCs w:val="21"/>
        </w:rPr>
        <w:t>1</w:t>
      </w:r>
      <w:r w:rsidRPr="00A16F46">
        <w:rPr>
          <w:rFonts w:eastAsiaTheme="minorEastAsia"/>
          <w:bCs/>
          <w:szCs w:val="21"/>
        </w:rPr>
        <w:t>．实行学分制。学生在完成规定课程并修满规定的学分，且学位论文经答辩通过后方可按学位申请程序申请公共管理专业学位。</w:t>
      </w:r>
    </w:p>
    <w:p w:rsidR="008F6F1F" w:rsidRPr="00A16F46" w:rsidRDefault="008F6F1F" w:rsidP="008F6F1F">
      <w:pPr>
        <w:widowControl/>
        <w:spacing w:line="300" w:lineRule="auto"/>
        <w:ind w:firstLineChars="196" w:firstLine="412"/>
        <w:jc w:val="left"/>
        <w:rPr>
          <w:rFonts w:eastAsiaTheme="minorEastAsia"/>
          <w:bCs/>
          <w:szCs w:val="21"/>
        </w:rPr>
      </w:pPr>
      <w:r w:rsidRPr="00A16F46">
        <w:rPr>
          <w:rFonts w:eastAsiaTheme="minorEastAsia"/>
          <w:bCs/>
          <w:szCs w:val="21"/>
        </w:rPr>
        <w:t>2</w:t>
      </w:r>
      <w:r w:rsidRPr="00A16F46">
        <w:rPr>
          <w:rFonts w:eastAsiaTheme="minorEastAsia"/>
          <w:bCs/>
          <w:szCs w:val="21"/>
        </w:rPr>
        <w:t>．实行集中授课、多样化教学。通过集中授课完成规定课程的教学任务，同时聘请校外公共管理领域的专家学者以及具有丰富公共管理经验的管理者为学生上课或开设讲座。在教学方式上，采取案例教学、小组讨论与辩论、情境体验与现场模拟等教学方式，提高教学效果。</w:t>
      </w:r>
    </w:p>
    <w:p w:rsidR="008F6F1F" w:rsidRPr="00A16F46" w:rsidRDefault="008F6F1F" w:rsidP="008F6F1F">
      <w:pPr>
        <w:widowControl/>
        <w:spacing w:line="300" w:lineRule="auto"/>
        <w:ind w:firstLineChars="196" w:firstLine="412"/>
        <w:jc w:val="left"/>
        <w:rPr>
          <w:rFonts w:eastAsiaTheme="minorEastAsia"/>
          <w:bCs/>
          <w:szCs w:val="21"/>
        </w:rPr>
      </w:pPr>
      <w:r w:rsidRPr="00A16F46">
        <w:rPr>
          <w:rFonts w:eastAsiaTheme="minorEastAsia"/>
          <w:bCs/>
          <w:szCs w:val="21"/>
        </w:rPr>
        <w:t>3</w:t>
      </w:r>
      <w:r w:rsidRPr="00A16F46">
        <w:rPr>
          <w:rFonts w:eastAsiaTheme="minorEastAsia"/>
          <w:bCs/>
          <w:szCs w:val="21"/>
        </w:rPr>
        <w:t>．开展社会实践、参与案例研究与决策咨询活动。与政府部门、气象部门以及企事业单位和第三部门等合作交流，安排学生到公共管理部门参加实践，并提交社会实践报告；引导、支持学生参与案例研究与决策咨询活动，包括独立或参与教学案例编写、开展调研并形成决策咨询报告、参加公共管理案例大赛等。</w:t>
      </w:r>
    </w:p>
    <w:p w:rsidR="008F6F1F" w:rsidRPr="00A16F46" w:rsidRDefault="008F6F1F" w:rsidP="008F6F1F">
      <w:pPr>
        <w:widowControl/>
        <w:spacing w:line="300" w:lineRule="auto"/>
        <w:ind w:firstLineChars="196" w:firstLine="412"/>
        <w:jc w:val="left"/>
        <w:rPr>
          <w:rFonts w:eastAsiaTheme="minorEastAsia"/>
          <w:bCs/>
          <w:szCs w:val="21"/>
        </w:rPr>
      </w:pPr>
      <w:r w:rsidRPr="00A16F46">
        <w:rPr>
          <w:rFonts w:eastAsiaTheme="minorEastAsia"/>
          <w:bCs/>
          <w:szCs w:val="21"/>
        </w:rPr>
        <w:t>4</w:t>
      </w:r>
      <w:r w:rsidRPr="00A16F46">
        <w:rPr>
          <w:rFonts w:eastAsiaTheme="minorEastAsia"/>
          <w:bCs/>
          <w:szCs w:val="21"/>
        </w:rPr>
        <w:t>．实行双导师制。聘请科研院校、政府部门、企事业单位以及第三部门等深厚公共管理知识与丰富公共管理经验的人员担任校外导师，与校内导师合作共同培养人才。</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七、中期考核</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对二年级公共管理专业硕士研究生在进入学位论文阶段前进行中期考核，时间安排在第四学期初，主要包括思想品德、学习态度、学习成绩和身体状况等内容。中期考核不过者，可延期</w:t>
      </w:r>
      <w:r w:rsidRPr="00A16F46">
        <w:rPr>
          <w:rFonts w:eastAsiaTheme="minorEastAsia"/>
          <w:kern w:val="0"/>
          <w:szCs w:val="21"/>
        </w:rPr>
        <w:t>6</w:t>
      </w:r>
      <w:r w:rsidRPr="00A16F46">
        <w:rPr>
          <w:rFonts w:eastAsiaTheme="minorEastAsia"/>
          <w:kern w:val="0"/>
          <w:szCs w:val="21"/>
        </w:rPr>
        <w:t>个月再重新申请考核，最长延期时间为</w:t>
      </w:r>
      <w:r w:rsidRPr="00A16F46">
        <w:rPr>
          <w:rFonts w:eastAsiaTheme="minorEastAsia"/>
          <w:kern w:val="0"/>
          <w:szCs w:val="21"/>
        </w:rPr>
        <w:t>1</w:t>
      </w:r>
      <w:r w:rsidRPr="00A16F46">
        <w:rPr>
          <w:rFonts w:eastAsiaTheme="minorEastAsia"/>
          <w:kern w:val="0"/>
          <w:szCs w:val="21"/>
        </w:rPr>
        <w:t>年。</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八、学位论文</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学位论文是公共管理硕士培养的重要内容。公共管理专业学位论文选题应紧密结合公共管理实践中的具体问题，特别鼓励学生选择与自己的工作岗位或工作领域相关的问题展开论文研究。学生应能运用所学的公共管理以及相关学科的理论、知识和方法，对公共管理实际问题展开调查研究与分析论述，并提出相关政策建议或改进管理的措施。</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lastRenderedPageBreak/>
        <w:t>公共管理专业学位论文的形式可以是公共管理专题研究、案例研究、调查报告、政策分析，也可以是学理研究。学位论文应该充分体现学生运用公共管理的理论和方法解决实际公共管理问题的能力与技巧。</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公共管理专业学位论文必须在导师指导下由硕士生本人独立完成，经过开题、写作、答辩等环节。硕士学位论文开题报告应在第</w:t>
      </w:r>
      <w:r w:rsidRPr="00A16F46">
        <w:rPr>
          <w:rFonts w:eastAsiaTheme="minorEastAsia"/>
          <w:kern w:val="0"/>
          <w:szCs w:val="21"/>
        </w:rPr>
        <w:t>3</w:t>
      </w:r>
      <w:r w:rsidRPr="00A16F46">
        <w:rPr>
          <w:rFonts w:eastAsiaTheme="minorEastAsia"/>
          <w:kern w:val="0"/>
          <w:szCs w:val="21"/>
        </w:rPr>
        <w:t>学期结束前完成，因特殊原因需延期开题者，应提前向研究生院提出书面申请，申请延期的期限最长不超过</w:t>
      </w:r>
      <w:r w:rsidRPr="00A16F46">
        <w:rPr>
          <w:rFonts w:eastAsiaTheme="minorEastAsia"/>
          <w:kern w:val="0"/>
          <w:szCs w:val="21"/>
        </w:rPr>
        <w:t>2</w:t>
      </w:r>
      <w:r w:rsidRPr="00A16F46">
        <w:rPr>
          <w:rFonts w:eastAsiaTheme="minorEastAsia"/>
          <w:kern w:val="0"/>
          <w:szCs w:val="21"/>
        </w:rPr>
        <w:t>个月。开题报告通过后，原则上不再改变，如论文选题有重大变化的，需重做开题报告。</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公共管理硕士专业研究生必须学完规定的课程，考核成绩合格，中期考核合格，并完成实践活动，获得规定的学分后，方能申请论文预答辩。学位论文预答辩在每年的</w:t>
      </w:r>
      <w:r w:rsidRPr="00A16F46">
        <w:rPr>
          <w:rFonts w:eastAsiaTheme="minorEastAsia"/>
          <w:kern w:val="0"/>
          <w:szCs w:val="21"/>
        </w:rPr>
        <w:t>3</w:t>
      </w:r>
      <w:r w:rsidRPr="00A16F46">
        <w:rPr>
          <w:rFonts w:eastAsiaTheme="minorEastAsia"/>
          <w:kern w:val="0"/>
          <w:szCs w:val="21"/>
        </w:rPr>
        <w:t>月底前完成。预答辩通过者方可申请正式答辩。学位论文的篇幅一般不少于</w:t>
      </w:r>
      <w:r w:rsidRPr="00A16F46">
        <w:rPr>
          <w:rFonts w:eastAsiaTheme="minorEastAsia"/>
          <w:kern w:val="0"/>
          <w:szCs w:val="21"/>
        </w:rPr>
        <w:t>2</w:t>
      </w:r>
      <w:r w:rsidRPr="00A16F46">
        <w:rPr>
          <w:rFonts w:eastAsiaTheme="minorEastAsia"/>
          <w:kern w:val="0"/>
          <w:szCs w:val="21"/>
        </w:rPr>
        <w:t>万字。</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公共管理硕士专业研究生完成规定的课程学习，修满</w:t>
      </w:r>
      <w:r w:rsidRPr="00A16F46">
        <w:rPr>
          <w:rFonts w:eastAsiaTheme="minorEastAsia"/>
          <w:kern w:val="0"/>
          <w:szCs w:val="21"/>
        </w:rPr>
        <w:t>3</w:t>
      </w:r>
      <w:r>
        <w:rPr>
          <w:rFonts w:eastAsiaTheme="minorEastAsia" w:hint="eastAsia"/>
          <w:kern w:val="0"/>
          <w:szCs w:val="21"/>
        </w:rPr>
        <w:t>8</w:t>
      </w:r>
      <w:r w:rsidRPr="00A16F46">
        <w:rPr>
          <w:rFonts w:eastAsiaTheme="minorEastAsia"/>
          <w:kern w:val="0"/>
          <w:szCs w:val="21"/>
        </w:rPr>
        <w:t>学分，按规定完成学位论文并通过学位论文答辩者，经学院学位委员会和学校学位委员会审核通过，授予公共管理硕士专业学位。</w:t>
      </w:r>
    </w:p>
    <w:p w:rsidR="008F6F1F" w:rsidRPr="00A16F46" w:rsidRDefault="008F6F1F" w:rsidP="008F6F1F">
      <w:pPr>
        <w:pStyle w:val="3"/>
        <w:ind w:firstLine="482"/>
        <w:rPr>
          <w:rFonts w:ascii="Times New Roman" w:hAnsi="Times New Roman"/>
          <w:b/>
          <w:sz w:val="24"/>
          <w:szCs w:val="24"/>
        </w:rPr>
      </w:pPr>
      <w:r w:rsidRPr="00A16F46">
        <w:rPr>
          <w:rFonts w:ascii="Times New Roman" w:hAnsi="Times New Roman"/>
          <w:b/>
          <w:sz w:val="24"/>
          <w:szCs w:val="24"/>
        </w:rPr>
        <w:t>九、实践环节</w:t>
      </w:r>
    </w:p>
    <w:p w:rsidR="008F6F1F" w:rsidRPr="00A16F46" w:rsidRDefault="008F6F1F" w:rsidP="008F6F1F">
      <w:pPr>
        <w:widowControl/>
        <w:spacing w:line="300" w:lineRule="auto"/>
        <w:ind w:firstLineChars="200" w:firstLine="420"/>
        <w:jc w:val="left"/>
        <w:rPr>
          <w:rFonts w:eastAsiaTheme="minorEastAsia"/>
          <w:kern w:val="0"/>
          <w:szCs w:val="21"/>
        </w:rPr>
      </w:pPr>
      <w:r w:rsidRPr="00A16F46">
        <w:rPr>
          <w:rFonts w:eastAsiaTheme="minorEastAsia"/>
          <w:kern w:val="0"/>
          <w:szCs w:val="21"/>
        </w:rPr>
        <w:t>社会实践致力于培养学生理论联系实际与学以致用的能力和方法，是公共管理硕士专业学位教育的必要环节。社会实践在教师的指导下进行，时间为三个月。社会实践结束后，学生须将实践单位出具的实践鉴定交给学校，作为完成社会实践的证明，同时在第</w:t>
      </w:r>
      <w:r w:rsidRPr="00A16F46">
        <w:rPr>
          <w:rFonts w:eastAsiaTheme="minorEastAsia"/>
          <w:kern w:val="0"/>
          <w:szCs w:val="21"/>
        </w:rPr>
        <w:t>4</w:t>
      </w:r>
      <w:r w:rsidRPr="00A16F46">
        <w:rPr>
          <w:rFonts w:eastAsiaTheme="minorEastAsia"/>
          <w:kern w:val="0"/>
          <w:szCs w:val="21"/>
        </w:rPr>
        <w:t>学期开学</w:t>
      </w:r>
      <w:r w:rsidRPr="00A16F46">
        <w:rPr>
          <w:rFonts w:eastAsiaTheme="minorEastAsia"/>
          <w:kern w:val="0"/>
          <w:szCs w:val="21"/>
        </w:rPr>
        <w:t>2</w:t>
      </w:r>
      <w:r w:rsidRPr="00A16F46">
        <w:rPr>
          <w:rFonts w:eastAsiaTheme="minorEastAsia"/>
          <w:kern w:val="0"/>
          <w:szCs w:val="21"/>
        </w:rPr>
        <w:t>周内提交</w:t>
      </w:r>
      <w:r w:rsidRPr="00A16F46">
        <w:rPr>
          <w:rFonts w:eastAsiaTheme="minorEastAsia"/>
          <w:kern w:val="0"/>
          <w:szCs w:val="21"/>
        </w:rPr>
        <w:t>5000</w:t>
      </w:r>
      <w:r w:rsidRPr="00A16F46">
        <w:rPr>
          <w:rFonts w:eastAsiaTheme="minorEastAsia"/>
          <w:kern w:val="0"/>
          <w:szCs w:val="21"/>
        </w:rPr>
        <w:t>字以上的社会实践调研报告，实践学分为</w:t>
      </w:r>
      <w:r w:rsidR="004340FC">
        <w:rPr>
          <w:rFonts w:eastAsiaTheme="minorEastAsia" w:hint="eastAsia"/>
          <w:kern w:val="0"/>
          <w:szCs w:val="21"/>
        </w:rPr>
        <w:t>4</w:t>
      </w:r>
      <w:bookmarkStart w:id="2" w:name="_GoBack"/>
      <w:bookmarkEnd w:id="2"/>
      <w:r w:rsidRPr="00A16F46">
        <w:rPr>
          <w:rFonts w:eastAsiaTheme="minorEastAsia"/>
          <w:kern w:val="0"/>
          <w:szCs w:val="21"/>
        </w:rPr>
        <w:t>学分并计入总学分。</w:t>
      </w:r>
    </w:p>
    <w:p w:rsidR="008F6F1F" w:rsidRPr="00A16F46" w:rsidRDefault="008F6F1F" w:rsidP="008F6F1F">
      <w:pPr>
        <w:spacing w:line="300" w:lineRule="auto"/>
        <w:rPr>
          <w:rFonts w:eastAsiaTheme="minorEastAsia"/>
          <w:bCs/>
          <w:szCs w:val="21"/>
        </w:rPr>
      </w:pPr>
    </w:p>
    <w:p w:rsidR="008F6F1F" w:rsidRPr="00A16F46" w:rsidRDefault="008F6F1F" w:rsidP="008F6F1F">
      <w:pPr>
        <w:spacing w:line="300" w:lineRule="auto"/>
        <w:rPr>
          <w:rFonts w:eastAsiaTheme="minorEastAsia"/>
          <w:b/>
          <w:kern w:val="1"/>
          <w:sz w:val="24"/>
        </w:rPr>
      </w:pPr>
      <w:r w:rsidRPr="00A16F46">
        <w:rPr>
          <w:rFonts w:eastAsiaTheme="minorEastAsia"/>
          <w:szCs w:val="21"/>
        </w:rPr>
        <w:br w:type="page"/>
      </w:r>
      <w:r w:rsidRPr="00A16F46">
        <w:rPr>
          <w:rFonts w:eastAsiaTheme="minorEastAsia"/>
          <w:b/>
          <w:kern w:val="1"/>
          <w:sz w:val="24"/>
        </w:rPr>
        <w:lastRenderedPageBreak/>
        <w:t>附表：</w:t>
      </w:r>
      <w:r w:rsidRPr="00A16F46">
        <w:rPr>
          <w:rFonts w:eastAsiaTheme="minorEastAsia"/>
          <w:b/>
          <w:kern w:val="1"/>
          <w:sz w:val="24"/>
          <w:u w:val="single"/>
        </w:rPr>
        <w:t>公共管理</w:t>
      </w:r>
      <w:r w:rsidRPr="00A16F46">
        <w:rPr>
          <w:rFonts w:eastAsiaTheme="minorEastAsia"/>
          <w:b/>
          <w:kern w:val="1"/>
          <w:sz w:val="24"/>
        </w:rPr>
        <w:t>专业学位硕士研究生课程设置</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637"/>
        <w:gridCol w:w="896"/>
        <w:gridCol w:w="2299"/>
        <w:gridCol w:w="552"/>
        <w:gridCol w:w="647"/>
        <w:gridCol w:w="518"/>
        <w:gridCol w:w="1037"/>
        <w:gridCol w:w="649"/>
        <w:gridCol w:w="900"/>
      </w:tblGrid>
      <w:tr w:rsidR="008F6F1F" w:rsidRPr="00A16F46" w:rsidTr="006D7BF1">
        <w:tc>
          <w:tcPr>
            <w:tcW w:w="973" w:type="dxa"/>
            <w:gridSpan w:val="2"/>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组别</w:t>
            </w:r>
          </w:p>
        </w:tc>
        <w:tc>
          <w:tcPr>
            <w:tcW w:w="896"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课程编号</w:t>
            </w:r>
          </w:p>
        </w:tc>
        <w:tc>
          <w:tcPr>
            <w:tcW w:w="2299" w:type="dxa"/>
            <w:tcMar>
              <w:left w:w="57" w:type="dxa"/>
              <w:right w:w="57" w:type="dxa"/>
            </w:tcMar>
            <w:vAlign w:val="center"/>
          </w:tcPr>
          <w:p w:rsidR="008F6F1F" w:rsidRPr="00A16F46" w:rsidRDefault="008F6F1F" w:rsidP="006D7BF1">
            <w:pPr>
              <w:adjustRightInd w:val="0"/>
              <w:spacing w:line="300" w:lineRule="auto"/>
              <w:ind w:firstLineChars="21" w:firstLine="38"/>
              <w:jc w:val="center"/>
              <w:rPr>
                <w:b/>
                <w:sz w:val="18"/>
                <w:szCs w:val="18"/>
              </w:rPr>
            </w:pPr>
            <w:r w:rsidRPr="00A16F46">
              <w:rPr>
                <w:rFonts w:hint="eastAsia"/>
                <w:b/>
                <w:sz w:val="18"/>
                <w:szCs w:val="18"/>
              </w:rPr>
              <w:t>课程名称</w:t>
            </w:r>
          </w:p>
        </w:tc>
        <w:tc>
          <w:tcPr>
            <w:tcW w:w="552"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学时</w:t>
            </w:r>
          </w:p>
        </w:tc>
        <w:tc>
          <w:tcPr>
            <w:tcW w:w="647"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学分</w:t>
            </w:r>
          </w:p>
        </w:tc>
        <w:tc>
          <w:tcPr>
            <w:tcW w:w="518"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开课学期</w:t>
            </w:r>
          </w:p>
        </w:tc>
        <w:tc>
          <w:tcPr>
            <w:tcW w:w="1037"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授课方式</w:t>
            </w:r>
          </w:p>
        </w:tc>
        <w:tc>
          <w:tcPr>
            <w:tcW w:w="649" w:type="dxa"/>
            <w:tcMar>
              <w:left w:w="57" w:type="dxa"/>
              <w:right w:w="57" w:type="dxa"/>
            </w:tcMar>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考试方式</w:t>
            </w:r>
          </w:p>
        </w:tc>
        <w:tc>
          <w:tcPr>
            <w:tcW w:w="900" w:type="dxa"/>
            <w:vAlign w:val="center"/>
          </w:tcPr>
          <w:p w:rsidR="008F6F1F" w:rsidRPr="00A16F46" w:rsidRDefault="008F6F1F" w:rsidP="006D7BF1">
            <w:pPr>
              <w:adjustRightInd w:val="0"/>
              <w:spacing w:line="300" w:lineRule="auto"/>
              <w:jc w:val="center"/>
              <w:rPr>
                <w:b/>
                <w:sz w:val="18"/>
                <w:szCs w:val="18"/>
              </w:rPr>
            </w:pPr>
            <w:r w:rsidRPr="00A16F46">
              <w:rPr>
                <w:rFonts w:hint="eastAsia"/>
                <w:b/>
                <w:sz w:val="18"/>
                <w:szCs w:val="18"/>
              </w:rPr>
              <w:t>备注</w:t>
            </w:r>
          </w:p>
        </w:tc>
      </w:tr>
      <w:tr w:rsidR="008F6F1F" w:rsidRPr="00A16F46" w:rsidTr="006D7BF1">
        <w:trPr>
          <w:trHeight w:val="397"/>
        </w:trPr>
        <w:tc>
          <w:tcPr>
            <w:tcW w:w="973" w:type="dxa"/>
            <w:gridSpan w:val="2"/>
            <w:vMerge w:val="restart"/>
            <w:tcMar>
              <w:left w:w="57" w:type="dxa"/>
              <w:right w:w="57" w:type="dxa"/>
            </w:tcMar>
            <w:vAlign w:val="center"/>
          </w:tcPr>
          <w:p w:rsidR="008F6F1F" w:rsidRPr="00A16F46" w:rsidRDefault="008F6F1F" w:rsidP="006D7BF1">
            <w:pPr>
              <w:adjustRightInd w:val="0"/>
              <w:spacing w:line="300" w:lineRule="auto"/>
              <w:jc w:val="center"/>
              <w:rPr>
                <w:sz w:val="18"/>
                <w:szCs w:val="18"/>
              </w:rPr>
            </w:pPr>
            <w:r w:rsidRPr="00A16F46">
              <w:rPr>
                <w:sz w:val="18"/>
                <w:szCs w:val="18"/>
              </w:rPr>
              <w:t>A</w:t>
            </w:r>
          </w:p>
        </w:tc>
        <w:tc>
          <w:tcPr>
            <w:tcW w:w="896" w:type="dxa"/>
            <w:tcMar>
              <w:left w:w="57" w:type="dxa"/>
              <w:right w:w="57" w:type="dxa"/>
            </w:tcMar>
            <w:vAlign w:val="center"/>
          </w:tcPr>
          <w:p w:rsidR="008F6F1F" w:rsidRPr="00C70AAE" w:rsidRDefault="008F6F1F" w:rsidP="006D7BF1">
            <w:pPr>
              <w:spacing w:line="0" w:lineRule="atLeast"/>
              <w:jc w:val="center"/>
              <w:rPr>
                <w:b/>
                <w:sz w:val="18"/>
                <w:szCs w:val="18"/>
              </w:rPr>
            </w:pPr>
            <w:r w:rsidRPr="00C70AAE">
              <w:rPr>
                <w:sz w:val="18"/>
                <w:szCs w:val="18"/>
              </w:rPr>
              <w:t>s008001</w:t>
            </w:r>
          </w:p>
        </w:tc>
        <w:tc>
          <w:tcPr>
            <w:tcW w:w="2299" w:type="dxa"/>
            <w:tcMar>
              <w:left w:w="57" w:type="dxa"/>
              <w:right w:w="57" w:type="dxa"/>
            </w:tcMar>
            <w:vAlign w:val="center"/>
          </w:tcPr>
          <w:p w:rsidR="008F6F1F" w:rsidRPr="00C70AAE" w:rsidRDefault="008F6F1F" w:rsidP="006D7BF1">
            <w:pPr>
              <w:spacing w:line="0" w:lineRule="atLeast"/>
              <w:ind w:firstLineChars="50" w:firstLine="90"/>
              <w:jc w:val="center"/>
              <w:rPr>
                <w:b/>
                <w:kern w:val="1"/>
                <w:sz w:val="18"/>
                <w:szCs w:val="18"/>
              </w:rPr>
            </w:pPr>
            <w:r w:rsidRPr="00C70AAE">
              <w:rPr>
                <w:kern w:val="1"/>
                <w:sz w:val="18"/>
                <w:szCs w:val="18"/>
              </w:rPr>
              <w:t>中国特色社会主义理论与实践研究</w:t>
            </w:r>
          </w:p>
        </w:tc>
        <w:tc>
          <w:tcPr>
            <w:tcW w:w="552"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32</w:t>
            </w:r>
          </w:p>
        </w:tc>
        <w:tc>
          <w:tcPr>
            <w:tcW w:w="64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restart"/>
            <w:vAlign w:val="center"/>
          </w:tcPr>
          <w:p w:rsidR="008F6F1F" w:rsidRPr="00A16F46" w:rsidRDefault="008F6F1F" w:rsidP="006D7BF1">
            <w:pPr>
              <w:widowControl/>
              <w:spacing w:line="300" w:lineRule="auto"/>
              <w:jc w:val="center"/>
              <w:rPr>
                <w:kern w:val="0"/>
                <w:sz w:val="18"/>
                <w:szCs w:val="18"/>
              </w:rPr>
            </w:pPr>
            <w:r>
              <w:rPr>
                <w:rFonts w:hint="eastAsia"/>
                <w:kern w:val="0"/>
                <w:sz w:val="18"/>
                <w:szCs w:val="18"/>
              </w:rPr>
              <w:t>5</w:t>
            </w:r>
            <w:r w:rsidRPr="00A16F46">
              <w:rPr>
                <w:rFonts w:hint="eastAsia"/>
                <w:kern w:val="0"/>
                <w:sz w:val="18"/>
                <w:szCs w:val="18"/>
              </w:rPr>
              <w:t>学分</w:t>
            </w: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F55AB7" w:rsidRDefault="008F6F1F" w:rsidP="006D7BF1">
            <w:pPr>
              <w:spacing w:line="0" w:lineRule="atLeast"/>
              <w:jc w:val="center"/>
              <w:rPr>
                <w:b/>
                <w:sz w:val="18"/>
                <w:szCs w:val="18"/>
              </w:rPr>
            </w:pPr>
            <w:r w:rsidRPr="00F55AB7">
              <w:rPr>
                <w:sz w:val="18"/>
                <w:szCs w:val="18"/>
              </w:rPr>
              <w:t>s99903</w:t>
            </w:r>
            <w:r>
              <w:rPr>
                <w:rFonts w:hint="eastAsia"/>
                <w:sz w:val="18"/>
                <w:szCs w:val="18"/>
              </w:rPr>
              <w:t>1</w:t>
            </w:r>
          </w:p>
        </w:tc>
        <w:tc>
          <w:tcPr>
            <w:tcW w:w="2299" w:type="dxa"/>
            <w:tcMar>
              <w:left w:w="57" w:type="dxa"/>
              <w:right w:w="57" w:type="dxa"/>
            </w:tcMar>
            <w:vAlign w:val="center"/>
          </w:tcPr>
          <w:p w:rsidR="008F6F1F" w:rsidRPr="00C70AAE" w:rsidRDefault="008F6F1F" w:rsidP="006D7BF1">
            <w:pPr>
              <w:spacing w:line="0" w:lineRule="atLeast"/>
              <w:ind w:firstLineChars="50" w:firstLine="90"/>
              <w:jc w:val="center"/>
              <w:rPr>
                <w:kern w:val="1"/>
                <w:sz w:val="18"/>
                <w:szCs w:val="18"/>
              </w:rPr>
            </w:pPr>
            <w:r w:rsidRPr="00C70AAE">
              <w:rPr>
                <w:kern w:val="1"/>
                <w:sz w:val="18"/>
                <w:szCs w:val="18"/>
              </w:rPr>
              <w:t>PETS-</w:t>
            </w:r>
            <w:r w:rsidRPr="00C70AAE">
              <w:rPr>
                <w:rFonts w:hint="eastAsia"/>
                <w:kern w:val="1"/>
                <w:sz w:val="18"/>
                <w:szCs w:val="18"/>
              </w:rPr>
              <w:t>5</w:t>
            </w:r>
          </w:p>
        </w:tc>
        <w:tc>
          <w:tcPr>
            <w:tcW w:w="552"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32</w:t>
            </w:r>
          </w:p>
        </w:tc>
        <w:tc>
          <w:tcPr>
            <w:tcW w:w="64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ign w:val="center"/>
          </w:tcPr>
          <w:p w:rsidR="008F6F1F" w:rsidRPr="00A16F46" w:rsidRDefault="008F6F1F" w:rsidP="006D7BF1">
            <w:pPr>
              <w:widowControl/>
              <w:spacing w:line="300" w:lineRule="auto"/>
              <w:jc w:val="center"/>
              <w:rPr>
                <w:kern w:val="0"/>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87770B" w:rsidRDefault="008F6F1F" w:rsidP="006D7BF1">
            <w:pPr>
              <w:spacing w:line="240" w:lineRule="atLeast"/>
              <w:jc w:val="center"/>
              <w:rPr>
                <w:sz w:val="18"/>
                <w:szCs w:val="18"/>
              </w:rPr>
            </w:pPr>
            <w:r w:rsidRPr="0087770B">
              <w:rPr>
                <w:sz w:val="18"/>
                <w:szCs w:val="18"/>
              </w:rPr>
              <w:t>s012009</w:t>
            </w:r>
          </w:p>
        </w:tc>
        <w:tc>
          <w:tcPr>
            <w:tcW w:w="2299" w:type="dxa"/>
            <w:tcMar>
              <w:left w:w="57" w:type="dxa"/>
              <w:right w:w="57" w:type="dxa"/>
            </w:tcMar>
            <w:vAlign w:val="center"/>
          </w:tcPr>
          <w:p w:rsidR="008F6F1F" w:rsidRPr="00A16F46" w:rsidRDefault="008F6F1F" w:rsidP="006D7BF1">
            <w:pPr>
              <w:spacing w:line="300" w:lineRule="auto"/>
              <w:ind w:firstLineChars="50" w:firstLine="90"/>
              <w:jc w:val="center"/>
              <w:rPr>
                <w:kern w:val="1"/>
                <w:sz w:val="18"/>
                <w:szCs w:val="18"/>
              </w:rPr>
            </w:pPr>
            <w:r w:rsidRPr="00A16F46">
              <w:rPr>
                <w:rFonts w:hint="eastAsia"/>
                <w:kern w:val="1"/>
                <w:sz w:val="18"/>
                <w:szCs w:val="18"/>
              </w:rPr>
              <w:t>科技写作</w:t>
            </w:r>
          </w:p>
        </w:tc>
        <w:tc>
          <w:tcPr>
            <w:tcW w:w="552" w:type="dxa"/>
            <w:tcMar>
              <w:left w:w="57" w:type="dxa"/>
              <w:right w:w="57" w:type="dxa"/>
            </w:tcMar>
            <w:vAlign w:val="center"/>
          </w:tcPr>
          <w:p w:rsidR="008F6F1F" w:rsidRPr="00A16F46" w:rsidRDefault="008F6F1F" w:rsidP="006D7BF1">
            <w:pPr>
              <w:widowControl/>
              <w:spacing w:line="300" w:lineRule="auto"/>
              <w:jc w:val="center"/>
              <w:rPr>
                <w:sz w:val="18"/>
                <w:szCs w:val="18"/>
              </w:rPr>
            </w:pPr>
            <w:r w:rsidRPr="00A16F46">
              <w:rPr>
                <w:sz w:val="18"/>
                <w:szCs w:val="18"/>
              </w:rPr>
              <w:t>16</w:t>
            </w:r>
          </w:p>
        </w:tc>
        <w:tc>
          <w:tcPr>
            <w:tcW w:w="647" w:type="dxa"/>
            <w:tcMar>
              <w:left w:w="57" w:type="dxa"/>
              <w:right w:w="57" w:type="dxa"/>
            </w:tcMar>
            <w:vAlign w:val="center"/>
          </w:tcPr>
          <w:p w:rsidR="008F6F1F" w:rsidRPr="00A16F46" w:rsidRDefault="008F6F1F" w:rsidP="006D7BF1">
            <w:pPr>
              <w:widowControl/>
              <w:spacing w:line="300" w:lineRule="auto"/>
              <w:jc w:val="center"/>
              <w:rPr>
                <w:sz w:val="18"/>
                <w:szCs w:val="18"/>
              </w:rPr>
            </w:pPr>
            <w:r w:rsidRPr="00A16F46">
              <w:rPr>
                <w:sz w:val="18"/>
                <w:szCs w:val="18"/>
              </w:rPr>
              <w:t>1</w:t>
            </w:r>
          </w:p>
        </w:tc>
        <w:tc>
          <w:tcPr>
            <w:tcW w:w="518" w:type="dxa"/>
            <w:tcMar>
              <w:left w:w="57" w:type="dxa"/>
              <w:right w:w="57" w:type="dxa"/>
            </w:tcMar>
            <w:vAlign w:val="center"/>
          </w:tcPr>
          <w:p w:rsidR="008F6F1F" w:rsidRPr="00A16F46" w:rsidRDefault="008F6F1F" w:rsidP="006D7BF1">
            <w:pPr>
              <w:spacing w:line="300" w:lineRule="auto"/>
              <w:jc w:val="center"/>
              <w:rPr>
                <w:sz w:val="18"/>
                <w:szCs w:val="18"/>
              </w:rPr>
            </w:pPr>
            <w:r w:rsidRPr="00A16F46">
              <w:rPr>
                <w:sz w:val="18"/>
                <w:szCs w:val="18"/>
              </w:rPr>
              <w:t>1</w:t>
            </w:r>
          </w:p>
        </w:tc>
        <w:tc>
          <w:tcPr>
            <w:tcW w:w="1037" w:type="dxa"/>
            <w:tcMar>
              <w:left w:w="57" w:type="dxa"/>
              <w:right w:w="57" w:type="dxa"/>
            </w:tcMar>
            <w:vAlign w:val="center"/>
          </w:tcPr>
          <w:p w:rsidR="008F6F1F" w:rsidRPr="00A16F46" w:rsidRDefault="008F6F1F" w:rsidP="006D7BF1">
            <w:pPr>
              <w:widowControl/>
              <w:spacing w:line="300" w:lineRule="auto"/>
              <w:jc w:val="center"/>
              <w:rPr>
                <w:sz w:val="18"/>
                <w:szCs w:val="18"/>
              </w:rPr>
            </w:pPr>
            <w:r w:rsidRPr="00A16F46">
              <w:rPr>
                <w:rFonts w:hint="eastAsia"/>
                <w:sz w:val="18"/>
                <w:szCs w:val="18"/>
              </w:rPr>
              <w:t>面授讲课</w:t>
            </w:r>
          </w:p>
        </w:tc>
        <w:tc>
          <w:tcPr>
            <w:tcW w:w="649" w:type="dxa"/>
            <w:tcMar>
              <w:left w:w="57" w:type="dxa"/>
              <w:right w:w="57" w:type="dxa"/>
            </w:tcMar>
            <w:vAlign w:val="center"/>
          </w:tcPr>
          <w:p w:rsidR="008F6F1F" w:rsidRPr="00A16F46" w:rsidRDefault="008F6F1F" w:rsidP="006D7BF1">
            <w:pPr>
              <w:widowControl/>
              <w:spacing w:line="300" w:lineRule="auto"/>
              <w:jc w:val="center"/>
              <w:rPr>
                <w:sz w:val="18"/>
                <w:szCs w:val="18"/>
              </w:rPr>
            </w:pPr>
            <w:r w:rsidRPr="00A16F46">
              <w:rPr>
                <w:rFonts w:hint="eastAsia"/>
                <w:sz w:val="18"/>
                <w:szCs w:val="18"/>
              </w:rPr>
              <w:t>考试</w:t>
            </w:r>
          </w:p>
        </w:tc>
        <w:tc>
          <w:tcPr>
            <w:tcW w:w="900" w:type="dxa"/>
            <w:vMerge/>
            <w:vAlign w:val="center"/>
          </w:tcPr>
          <w:p w:rsidR="008F6F1F" w:rsidRPr="00A16F46" w:rsidRDefault="008F6F1F" w:rsidP="006D7BF1">
            <w:pPr>
              <w:widowControl/>
              <w:spacing w:line="300" w:lineRule="auto"/>
              <w:jc w:val="center"/>
              <w:rPr>
                <w:kern w:val="0"/>
                <w:sz w:val="18"/>
                <w:szCs w:val="18"/>
              </w:rPr>
            </w:pPr>
          </w:p>
        </w:tc>
      </w:tr>
      <w:tr w:rsidR="008F6F1F" w:rsidRPr="00A16F46" w:rsidTr="006D7BF1">
        <w:trPr>
          <w:trHeight w:val="397"/>
        </w:trPr>
        <w:tc>
          <w:tcPr>
            <w:tcW w:w="336" w:type="dxa"/>
            <w:vMerge w:val="restart"/>
            <w:tcMar>
              <w:left w:w="57" w:type="dxa"/>
              <w:right w:w="57" w:type="dxa"/>
            </w:tcMar>
            <w:vAlign w:val="center"/>
          </w:tcPr>
          <w:p w:rsidR="008F6F1F" w:rsidRPr="00A16F46" w:rsidRDefault="008F6F1F" w:rsidP="006D7BF1">
            <w:pPr>
              <w:adjustRightInd w:val="0"/>
              <w:spacing w:line="300" w:lineRule="auto"/>
              <w:jc w:val="center"/>
              <w:rPr>
                <w:sz w:val="18"/>
                <w:szCs w:val="18"/>
              </w:rPr>
            </w:pPr>
          </w:p>
          <w:p w:rsidR="008F6F1F" w:rsidRPr="00A16F46" w:rsidRDefault="008F6F1F" w:rsidP="006D7BF1">
            <w:pPr>
              <w:adjustRightInd w:val="0"/>
              <w:spacing w:line="300" w:lineRule="auto"/>
              <w:jc w:val="center"/>
              <w:rPr>
                <w:sz w:val="18"/>
                <w:szCs w:val="18"/>
              </w:rPr>
            </w:pPr>
          </w:p>
          <w:p w:rsidR="008F6F1F" w:rsidRPr="00A16F46" w:rsidRDefault="008F6F1F" w:rsidP="006D7BF1">
            <w:pPr>
              <w:adjustRightInd w:val="0"/>
              <w:spacing w:line="300" w:lineRule="auto"/>
              <w:jc w:val="center"/>
              <w:rPr>
                <w:sz w:val="18"/>
                <w:szCs w:val="18"/>
              </w:rPr>
            </w:pPr>
            <w:r w:rsidRPr="00A16F46">
              <w:rPr>
                <w:sz w:val="18"/>
                <w:szCs w:val="18"/>
              </w:rPr>
              <w:t>B</w:t>
            </w:r>
          </w:p>
          <w:p w:rsidR="008F6F1F" w:rsidRPr="00A16F46" w:rsidRDefault="008F6F1F" w:rsidP="006D7BF1">
            <w:pPr>
              <w:adjustRightInd w:val="0"/>
              <w:spacing w:line="300" w:lineRule="auto"/>
              <w:jc w:val="center"/>
              <w:rPr>
                <w:sz w:val="18"/>
                <w:szCs w:val="18"/>
              </w:rPr>
            </w:pPr>
          </w:p>
          <w:p w:rsidR="008F6F1F" w:rsidRPr="00A16F46" w:rsidRDefault="008F6F1F" w:rsidP="006D7BF1">
            <w:pPr>
              <w:adjustRightInd w:val="0"/>
              <w:spacing w:line="300" w:lineRule="auto"/>
              <w:jc w:val="center"/>
              <w:rPr>
                <w:sz w:val="18"/>
                <w:szCs w:val="18"/>
              </w:rPr>
            </w:pPr>
          </w:p>
        </w:tc>
        <w:tc>
          <w:tcPr>
            <w:tcW w:w="637" w:type="dxa"/>
            <w:vMerge w:val="restart"/>
            <w:tcMar>
              <w:left w:w="57" w:type="dxa"/>
              <w:right w:w="57" w:type="dxa"/>
            </w:tcMar>
            <w:vAlign w:val="center"/>
          </w:tcPr>
          <w:p w:rsidR="008F6F1F" w:rsidRPr="00A16F46" w:rsidRDefault="008F6F1F" w:rsidP="006D7BF1">
            <w:pPr>
              <w:adjustRightInd w:val="0"/>
              <w:jc w:val="center"/>
              <w:rPr>
                <w:sz w:val="18"/>
                <w:szCs w:val="18"/>
              </w:rPr>
            </w:pPr>
            <w:r w:rsidRPr="00A16F46">
              <w:rPr>
                <w:rFonts w:hint="eastAsia"/>
                <w:sz w:val="18"/>
                <w:szCs w:val="18"/>
              </w:rPr>
              <w:t>基础理论课程</w:t>
            </w:r>
          </w:p>
        </w:tc>
        <w:tc>
          <w:tcPr>
            <w:tcW w:w="896" w:type="dxa"/>
            <w:tcMar>
              <w:left w:w="57" w:type="dxa"/>
              <w:right w:w="57" w:type="dxa"/>
            </w:tcMar>
            <w:vAlign w:val="center"/>
          </w:tcPr>
          <w:p w:rsidR="008F6F1F" w:rsidRPr="0087770B" w:rsidRDefault="008F6F1F" w:rsidP="006D7BF1">
            <w:pPr>
              <w:spacing w:line="0" w:lineRule="atLeast"/>
              <w:jc w:val="center"/>
              <w:rPr>
                <w:sz w:val="18"/>
                <w:szCs w:val="18"/>
              </w:rPr>
            </w:pPr>
            <w:r w:rsidRPr="0087770B">
              <w:rPr>
                <w:sz w:val="18"/>
                <w:szCs w:val="18"/>
              </w:rPr>
              <w:t>z012001</w:t>
            </w:r>
          </w:p>
        </w:tc>
        <w:tc>
          <w:tcPr>
            <w:tcW w:w="2299" w:type="dxa"/>
            <w:tcMar>
              <w:left w:w="57" w:type="dxa"/>
              <w:right w:w="57" w:type="dxa"/>
            </w:tcMar>
            <w:vAlign w:val="center"/>
          </w:tcPr>
          <w:p w:rsidR="008F6F1F" w:rsidRPr="00C70AAE" w:rsidRDefault="008F6F1F" w:rsidP="006D7BF1">
            <w:pPr>
              <w:spacing w:line="0" w:lineRule="atLeast"/>
              <w:jc w:val="center"/>
              <w:rPr>
                <w:kern w:val="1"/>
                <w:sz w:val="18"/>
                <w:szCs w:val="18"/>
              </w:rPr>
            </w:pPr>
            <w:r>
              <w:rPr>
                <w:kern w:val="1"/>
                <w:sz w:val="18"/>
                <w:szCs w:val="18"/>
              </w:rPr>
              <w:t>公共管理学</w:t>
            </w:r>
          </w:p>
        </w:tc>
        <w:tc>
          <w:tcPr>
            <w:tcW w:w="552"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48</w:t>
            </w:r>
          </w:p>
        </w:tc>
        <w:tc>
          <w:tcPr>
            <w:tcW w:w="64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3</w:t>
            </w:r>
          </w:p>
        </w:tc>
        <w:tc>
          <w:tcPr>
            <w:tcW w:w="518"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restart"/>
            <w:vAlign w:val="center"/>
          </w:tcPr>
          <w:p w:rsidR="008F6F1F" w:rsidRPr="008872A7" w:rsidRDefault="008F6F1F" w:rsidP="006D7BF1">
            <w:pPr>
              <w:adjustRightInd w:val="0"/>
              <w:spacing w:line="300" w:lineRule="auto"/>
              <w:jc w:val="center"/>
              <w:rPr>
                <w:color w:val="FF0000"/>
                <w:sz w:val="18"/>
                <w:szCs w:val="18"/>
              </w:rPr>
            </w:pPr>
            <w:r w:rsidRPr="008872A7">
              <w:rPr>
                <w:rFonts w:hint="eastAsia"/>
                <w:color w:val="FF0000"/>
                <w:kern w:val="0"/>
                <w:sz w:val="18"/>
                <w:szCs w:val="18"/>
              </w:rPr>
              <w:t>2</w:t>
            </w:r>
            <w:r>
              <w:rPr>
                <w:rFonts w:hint="eastAsia"/>
                <w:color w:val="FF0000"/>
                <w:kern w:val="0"/>
                <w:sz w:val="18"/>
                <w:szCs w:val="18"/>
              </w:rPr>
              <w:t>1</w:t>
            </w:r>
            <w:r w:rsidRPr="008872A7">
              <w:rPr>
                <w:rFonts w:hint="eastAsia"/>
                <w:color w:val="FF0000"/>
                <w:kern w:val="0"/>
                <w:sz w:val="18"/>
                <w:szCs w:val="18"/>
              </w:rPr>
              <w:t>学分</w:t>
            </w: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公共政策分析</w:t>
            </w:r>
          </w:p>
        </w:tc>
        <w:tc>
          <w:tcPr>
            <w:tcW w:w="552"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48</w:t>
            </w:r>
          </w:p>
        </w:tc>
        <w:tc>
          <w:tcPr>
            <w:tcW w:w="647"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3</w:t>
            </w:r>
          </w:p>
        </w:tc>
        <w:tc>
          <w:tcPr>
            <w:tcW w:w="518" w:type="dxa"/>
            <w:tcMar>
              <w:left w:w="57" w:type="dxa"/>
              <w:right w:w="57" w:type="dxa"/>
            </w:tcMar>
            <w:vAlign w:val="center"/>
          </w:tcPr>
          <w:p w:rsidR="008F6F1F" w:rsidRPr="000B4049" w:rsidRDefault="008F6F1F" w:rsidP="006D7BF1">
            <w:pPr>
              <w:spacing w:line="0" w:lineRule="atLeast"/>
              <w:jc w:val="center"/>
              <w:rPr>
                <w:color w:val="FF0000"/>
                <w:sz w:val="18"/>
                <w:szCs w:val="18"/>
              </w:rPr>
            </w:pPr>
            <w:r w:rsidRPr="000B4049">
              <w:rPr>
                <w:rFonts w:hint="eastAsia"/>
                <w:color w:val="FF0000"/>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ign w:val="center"/>
          </w:tcPr>
          <w:p w:rsidR="008F6F1F" w:rsidRPr="00A16F46" w:rsidRDefault="008F6F1F" w:rsidP="006D7BF1">
            <w:pPr>
              <w:adjustRightInd w:val="0"/>
              <w:spacing w:line="300" w:lineRule="auto"/>
              <w:jc w:val="center"/>
              <w:rPr>
                <w:kern w:val="0"/>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社会研究方法</w:t>
            </w:r>
          </w:p>
        </w:tc>
        <w:tc>
          <w:tcPr>
            <w:tcW w:w="552"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48</w:t>
            </w:r>
          </w:p>
        </w:tc>
        <w:tc>
          <w:tcPr>
            <w:tcW w:w="647"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3</w:t>
            </w:r>
          </w:p>
        </w:tc>
        <w:tc>
          <w:tcPr>
            <w:tcW w:w="518" w:type="dxa"/>
            <w:tcMar>
              <w:left w:w="57" w:type="dxa"/>
              <w:right w:w="57" w:type="dxa"/>
            </w:tcMar>
            <w:vAlign w:val="center"/>
          </w:tcPr>
          <w:p w:rsidR="008F6F1F" w:rsidRPr="000B4049" w:rsidRDefault="008F6F1F" w:rsidP="006D7BF1">
            <w:pPr>
              <w:spacing w:line="0" w:lineRule="atLeast"/>
              <w:jc w:val="center"/>
              <w:rPr>
                <w:color w:val="FF0000"/>
                <w:sz w:val="18"/>
                <w:szCs w:val="18"/>
              </w:rPr>
            </w:pPr>
            <w:r w:rsidRPr="000B4049">
              <w:rPr>
                <w:color w:val="FF0000"/>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ign w:val="center"/>
          </w:tcPr>
          <w:p w:rsidR="008F6F1F" w:rsidRPr="00A16F46" w:rsidRDefault="008F6F1F" w:rsidP="006D7BF1">
            <w:pPr>
              <w:adjustRightInd w:val="0"/>
              <w:spacing w:line="300" w:lineRule="auto"/>
              <w:jc w:val="center"/>
              <w:rPr>
                <w:kern w:val="0"/>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政治学</w:t>
            </w:r>
          </w:p>
        </w:tc>
        <w:tc>
          <w:tcPr>
            <w:tcW w:w="552" w:type="dxa"/>
            <w:tcMar>
              <w:left w:w="57" w:type="dxa"/>
              <w:right w:w="57" w:type="dxa"/>
            </w:tcMar>
            <w:vAlign w:val="center"/>
          </w:tcPr>
          <w:p w:rsidR="008F6F1F" w:rsidRPr="000B4049" w:rsidRDefault="008F6F1F" w:rsidP="006D7BF1">
            <w:pPr>
              <w:spacing w:line="0" w:lineRule="atLeast"/>
              <w:jc w:val="center"/>
              <w:rPr>
                <w:color w:val="FF0000"/>
                <w:kern w:val="1"/>
                <w:sz w:val="18"/>
                <w:szCs w:val="18"/>
              </w:rPr>
            </w:pPr>
            <w:r w:rsidRPr="000B4049">
              <w:rPr>
                <w:color w:val="FF0000"/>
                <w:kern w:val="1"/>
                <w:sz w:val="18"/>
                <w:szCs w:val="18"/>
              </w:rPr>
              <w:t>32</w:t>
            </w:r>
          </w:p>
        </w:tc>
        <w:tc>
          <w:tcPr>
            <w:tcW w:w="647" w:type="dxa"/>
            <w:tcMar>
              <w:left w:w="57" w:type="dxa"/>
              <w:right w:w="57" w:type="dxa"/>
            </w:tcMar>
            <w:vAlign w:val="center"/>
          </w:tcPr>
          <w:p w:rsidR="008F6F1F" w:rsidRPr="000B4049" w:rsidRDefault="008F6F1F" w:rsidP="006D7BF1">
            <w:pPr>
              <w:spacing w:line="0" w:lineRule="atLeast"/>
              <w:jc w:val="center"/>
              <w:rPr>
                <w:color w:val="FF0000"/>
                <w:kern w:val="1"/>
                <w:sz w:val="18"/>
                <w:szCs w:val="18"/>
              </w:rPr>
            </w:pPr>
            <w:r w:rsidRPr="000B4049">
              <w:rPr>
                <w:color w:val="FF0000"/>
                <w:kern w:val="1"/>
                <w:sz w:val="18"/>
                <w:szCs w:val="18"/>
              </w:rPr>
              <w:t>2</w:t>
            </w:r>
          </w:p>
        </w:tc>
        <w:tc>
          <w:tcPr>
            <w:tcW w:w="518" w:type="dxa"/>
            <w:tcMar>
              <w:left w:w="57" w:type="dxa"/>
              <w:right w:w="57" w:type="dxa"/>
            </w:tcMar>
            <w:vAlign w:val="center"/>
          </w:tcPr>
          <w:p w:rsidR="008F6F1F" w:rsidRPr="000B4049" w:rsidRDefault="008F6F1F" w:rsidP="006D7BF1">
            <w:pPr>
              <w:spacing w:line="0" w:lineRule="atLeast"/>
              <w:jc w:val="center"/>
              <w:rPr>
                <w:color w:val="FF0000"/>
                <w:kern w:val="1"/>
                <w:sz w:val="18"/>
                <w:szCs w:val="18"/>
              </w:rPr>
            </w:pPr>
            <w:r w:rsidRPr="000B4049">
              <w:rPr>
                <w:rFonts w:hint="eastAsia"/>
                <w:color w:val="FF0000"/>
                <w:kern w:val="1"/>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考试</w:t>
            </w:r>
          </w:p>
        </w:tc>
        <w:tc>
          <w:tcPr>
            <w:tcW w:w="900" w:type="dxa"/>
            <w:vMerge/>
            <w:vAlign w:val="center"/>
          </w:tcPr>
          <w:p w:rsidR="008F6F1F" w:rsidRPr="00A16F46" w:rsidRDefault="008F6F1F" w:rsidP="006D7BF1">
            <w:pPr>
              <w:adjustRightInd w:val="0"/>
              <w:spacing w:line="300" w:lineRule="auto"/>
              <w:jc w:val="center"/>
              <w:rPr>
                <w:kern w:val="0"/>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87770B" w:rsidRDefault="008F6F1F" w:rsidP="006D7BF1">
            <w:pPr>
              <w:spacing w:line="0" w:lineRule="atLeast"/>
              <w:jc w:val="center"/>
              <w:rPr>
                <w:sz w:val="18"/>
                <w:szCs w:val="18"/>
              </w:rPr>
            </w:pPr>
          </w:p>
        </w:tc>
        <w:tc>
          <w:tcPr>
            <w:tcW w:w="229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公共经济学</w:t>
            </w:r>
          </w:p>
        </w:tc>
        <w:tc>
          <w:tcPr>
            <w:tcW w:w="552"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32</w:t>
            </w:r>
          </w:p>
        </w:tc>
        <w:tc>
          <w:tcPr>
            <w:tcW w:w="647" w:type="dxa"/>
            <w:tcMar>
              <w:left w:w="57" w:type="dxa"/>
              <w:right w:w="57" w:type="dxa"/>
            </w:tcMar>
            <w:vAlign w:val="center"/>
          </w:tcPr>
          <w:p w:rsidR="008F6F1F" w:rsidRPr="000B4049" w:rsidRDefault="008F6F1F" w:rsidP="006D7BF1">
            <w:pPr>
              <w:widowControl/>
              <w:spacing w:line="0" w:lineRule="atLeast"/>
              <w:jc w:val="center"/>
              <w:rPr>
                <w:color w:val="FF0000"/>
                <w:sz w:val="18"/>
                <w:szCs w:val="18"/>
              </w:rPr>
            </w:pPr>
            <w:r w:rsidRPr="000B4049">
              <w:rPr>
                <w:rFonts w:hint="eastAsia"/>
                <w:color w:val="FF0000"/>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ign w:val="center"/>
          </w:tcPr>
          <w:p w:rsidR="008F6F1F" w:rsidRPr="00A16F46" w:rsidRDefault="008F6F1F" w:rsidP="006D7BF1">
            <w:pPr>
              <w:adjustRightInd w:val="0"/>
              <w:spacing w:line="300" w:lineRule="auto"/>
              <w:jc w:val="center"/>
              <w:rPr>
                <w:kern w:val="0"/>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val="restart"/>
            <w:tcMar>
              <w:left w:w="57" w:type="dxa"/>
              <w:right w:w="57" w:type="dxa"/>
            </w:tcMar>
            <w:vAlign w:val="center"/>
          </w:tcPr>
          <w:p w:rsidR="008F6F1F" w:rsidRPr="00A16F46" w:rsidRDefault="008F6F1F" w:rsidP="006D7BF1">
            <w:pPr>
              <w:adjustRightInd w:val="0"/>
              <w:jc w:val="center"/>
              <w:rPr>
                <w:sz w:val="18"/>
                <w:szCs w:val="18"/>
              </w:rPr>
            </w:pPr>
            <w:r w:rsidRPr="00A16F46">
              <w:rPr>
                <w:rFonts w:hint="eastAsia"/>
                <w:sz w:val="18"/>
                <w:szCs w:val="18"/>
              </w:rPr>
              <w:t>专业技术课程</w:t>
            </w:r>
          </w:p>
        </w:tc>
        <w:tc>
          <w:tcPr>
            <w:tcW w:w="896" w:type="dxa"/>
            <w:tcMar>
              <w:left w:w="57" w:type="dxa"/>
              <w:right w:w="57" w:type="dxa"/>
            </w:tcMar>
            <w:vAlign w:val="center"/>
          </w:tcPr>
          <w:p w:rsidR="008F6F1F" w:rsidRPr="0087770B" w:rsidRDefault="008F6F1F" w:rsidP="006D7BF1">
            <w:pPr>
              <w:spacing w:line="0" w:lineRule="atLeast"/>
              <w:jc w:val="center"/>
              <w:rPr>
                <w:sz w:val="18"/>
                <w:szCs w:val="18"/>
              </w:rPr>
            </w:pPr>
          </w:p>
        </w:tc>
        <w:tc>
          <w:tcPr>
            <w:tcW w:w="2299" w:type="dxa"/>
            <w:tcMar>
              <w:left w:w="57" w:type="dxa"/>
              <w:right w:w="57" w:type="dxa"/>
            </w:tcMar>
            <w:vAlign w:val="center"/>
          </w:tcPr>
          <w:p w:rsidR="008F6F1F" w:rsidRPr="008872A7" w:rsidRDefault="008F6F1F" w:rsidP="006D7BF1">
            <w:pPr>
              <w:spacing w:line="0" w:lineRule="atLeast"/>
              <w:jc w:val="center"/>
              <w:rPr>
                <w:color w:val="FF0000"/>
                <w:kern w:val="1"/>
                <w:sz w:val="18"/>
                <w:szCs w:val="18"/>
              </w:rPr>
            </w:pPr>
            <w:r w:rsidRPr="008872A7">
              <w:rPr>
                <w:color w:val="FF0000"/>
                <w:kern w:val="1"/>
                <w:sz w:val="18"/>
                <w:szCs w:val="18"/>
              </w:rPr>
              <w:t>宪法与行政法</w:t>
            </w:r>
          </w:p>
        </w:tc>
        <w:tc>
          <w:tcPr>
            <w:tcW w:w="552" w:type="dxa"/>
            <w:tcMar>
              <w:left w:w="57" w:type="dxa"/>
              <w:right w:w="57" w:type="dxa"/>
            </w:tcMar>
            <w:vAlign w:val="center"/>
          </w:tcPr>
          <w:p w:rsidR="008F6F1F" w:rsidRPr="008872A7" w:rsidRDefault="008F6F1F" w:rsidP="006D7BF1">
            <w:pPr>
              <w:widowControl/>
              <w:spacing w:line="0" w:lineRule="atLeast"/>
              <w:jc w:val="center"/>
              <w:rPr>
                <w:color w:val="FF0000"/>
                <w:sz w:val="18"/>
                <w:szCs w:val="18"/>
              </w:rPr>
            </w:pPr>
            <w:r>
              <w:rPr>
                <w:rFonts w:hint="eastAsia"/>
                <w:color w:val="FF0000"/>
                <w:sz w:val="18"/>
                <w:szCs w:val="18"/>
              </w:rPr>
              <w:t>32</w:t>
            </w:r>
          </w:p>
        </w:tc>
        <w:tc>
          <w:tcPr>
            <w:tcW w:w="647" w:type="dxa"/>
            <w:tcMar>
              <w:left w:w="57" w:type="dxa"/>
              <w:right w:w="57" w:type="dxa"/>
            </w:tcMar>
            <w:vAlign w:val="center"/>
          </w:tcPr>
          <w:p w:rsidR="008F6F1F" w:rsidRPr="008872A7" w:rsidRDefault="008F6F1F" w:rsidP="006D7BF1">
            <w:pPr>
              <w:widowControl/>
              <w:spacing w:line="0" w:lineRule="atLeast"/>
              <w:jc w:val="center"/>
              <w:rPr>
                <w:color w:val="FF0000"/>
                <w:sz w:val="18"/>
                <w:szCs w:val="18"/>
              </w:rPr>
            </w:pPr>
            <w:r>
              <w:rPr>
                <w:rFonts w:hint="eastAsia"/>
                <w:color w:val="FF0000"/>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考试</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r w:rsidRPr="001D757A">
              <w:rPr>
                <w:sz w:val="18"/>
                <w:szCs w:val="18"/>
                <w:highlight w:val="yellow"/>
              </w:rPr>
              <w:t>z01200</w:t>
            </w:r>
            <w:r w:rsidRPr="001D757A">
              <w:rPr>
                <w:rFonts w:hint="eastAsia"/>
                <w:sz w:val="18"/>
                <w:szCs w:val="18"/>
                <w:highlight w:val="yellow"/>
              </w:rPr>
              <w:t>9</w:t>
            </w: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电子政务</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kern w:val="1"/>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考试</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618"/>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vMerge/>
            <w:tcMar>
              <w:left w:w="57" w:type="dxa"/>
              <w:right w:w="57" w:type="dxa"/>
            </w:tcMar>
            <w:vAlign w:val="center"/>
          </w:tcPr>
          <w:p w:rsidR="008F6F1F" w:rsidRPr="00A16F46" w:rsidRDefault="008F6F1F" w:rsidP="006D7BF1">
            <w:pPr>
              <w:adjustRightInd w:val="0"/>
              <w:jc w:val="center"/>
              <w:rPr>
                <w:sz w:val="18"/>
                <w:szCs w:val="18"/>
              </w:rPr>
            </w:pP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r w:rsidRPr="001D757A">
              <w:rPr>
                <w:sz w:val="18"/>
                <w:szCs w:val="18"/>
                <w:highlight w:val="yellow"/>
              </w:rPr>
              <w:t>z01200</w:t>
            </w:r>
            <w:r w:rsidRPr="001D757A">
              <w:rPr>
                <w:rFonts w:hint="eastAsia"/>
                <w:sz w:val="18"/>
                <w:szCs w:val="18"/>
                <w:highlight w:val="yellow"/>
              </w:rPr>
              <w:t>7</w:t>
            </w: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非营利组织管理</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考试</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336" w:type="dxa"/>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637" w:type="dxa"/>
            <w:tcMar>
              <w:left w:w="57" w:type="dxa"/>
              <w:right w:w="57" w:type="dxa"/>
            </w:tcMar>
            <w:vAlign w:val="center"/>
          </w:tcPr>
          <w:p w:rsidR="008F6F1F" w:rsidRPr="00A16F46" w:rsidRDefault="008F6F1F" w:rsidP="006D7BF1">
            <w:pPr>
              <w:adjustRightInd w:val="0"/>
              <w:jc w:val="center"/>
              <w:rPr>
                <w:sz w:val="18"/>
                <w:szCs w:val="18"/>
              </w:rPr>
            </w:pPr>
            <w:r w:rsidRPr="00A16F46">
              <w:rPr>
                <w:rFonts w:hint="eastAsia"/>
                <w:sz w:val="18"/>
                <w:szCs w:val="18"/>
              </w:rPr>
              <w:t>实践教学系列课程</w:t>
            </w:r>
          </w:p>
        </w:tc>
        <w:tc>
          <w:tcPr>
            <w:tcW w:w="896" w:type="dxa"/>
            <w:tcMar>
              <w:left w:w="57" w:type="dxa"/>
              <w:right w:w="57" w:type="dxa"/>
            </w:tcMar>
            <w:vAlign w:val="center"/>
          </w:tcPr>
          <w:p w:rsidR="008F6F1F" w:rsidRPr="001D757A" w:rsidRDefault="008F6F1F" w:rsidP="006D7BF1">
            <w:pPr>
              <w:spacing w:line="0" w:lineRule="atLeast"/>
              <w:jc w:val="center"/>
              <w:rPr>
                <w:sz w:val="18"/>
                <w:szCs w:val="18"/>
                <w:highlight w:val="yellow"/>
              </w:rPr>
            </w:pPr>
            <w:r w:rsidRPr="001D757A">
              <w:rPr>
                <w:sz w:val="18"/>
                <w:szCs w:val="18"/>
                <w:highlight w:val="yellow"/>
              </w:rPr>
              <w:t>z0120</w:t>
            </w:r>
            <w:r w:rsidRPr="001D757A">
              <w:rPr>
                <w:rFonts w:hint="eastAsia"/>
                <w:sz w:val="18"/>
                <w:szCs w:val="18"/>
                <w:highlight w:val="yellow"/>
              </w:rPr>
              <w:t>08</w:t>
            </w:r>
          </w:p>
        </w:tc>
        <w:tc>
          <w:tcPr>
            <w:tcW w:w="2299" w:type="dxa"/>
            <w:tcMar>
              <w:left w:w="57" w:type="dxa"/>
              <w:right w:w="57" w:type="dxa"/>
            </w:tcMar>
            <w:vAlign w:val="center"/>
          </w:tcPr>
          <w:p w:rsidR="008F6F1F" w:rsidRPr="001D757A" w:rsidRDefault="008F6F1F" w:rsidP="006D7BF1">
            <w:pPr>
              <w:spacing w:line="0" w:lineRule="atLeast"/>
              <w:jc w:val="center"/>
              <w:rPr>
                <w:kern w:val="1"/>
                <w:sz w:val="18"/>
                <w:szCs w:val="18"/>
                <w:highlight w:val="yellow"/>
              </w:rPr>
            </w:pPr>
            <w:r w:rsidRPr="001D757A">
              <w:rPr>
                <w:kern w:val="1"/>
                <w:sz w:val="18"/>
                <w:szCs w:val="18"/>
                <w:highlight w:val="yellow"/>
              </w:rPr>
              <w:t>公文写作</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Pr>
                <w:rFonts w:hint="eastAsia"/>
                <w:kern w:val="1"/>
                <w:sz w:val="18"/>
                <w:szCs w:val="18"/>
              </w:rPr>
              <w:t>考查</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433"/>
        </w:trPr>
        <w:tc>
          <w:tcPr>
            <w:tcW w:w="973" w:type="dxa"/>
            <w:gridSpan w:val="2"/>
            <w:tcMar>
              <w:left w:w="57" w:type="dxa"/>
              <w:right w:w="57" w:type="dxa"/>
            </w:tcMar>
            <w:vAlign w:val="center"/>
          </w:tcPr>
          <w:p w:rsidR="008F6F1F" w:rsidRPr="00A16F46" w:rsidRDefault="008F6F1F" w:rsidP="006D7BF1">
            <w:pPr>
              <w:adjustRightInd w:val="0"/>
              <w:spacing w:line="300" w:lineRule="auto"/>
              <w:jc w:val="center"/>
              <w:rPr>
                <w:sz w:val="18"/>
                <w:szCs w:val="18"/>
              </w:rPr>
            </w:pPr>
            <w:r w:rsidRPr="00A16F46">
              <w:rPr>
                <w:sz w:val="18"/>
                <w:szCs w:val="18"/>
              </w:rPr>
              <w:t>C</w:t>
            </w:r>
          </w:p>
        </w:tc>
        <w:tc>
          <w:tcPr>
            <w:tcW w:w="896" w:type="dxa"/>
            <w:tcMar>
              <w:left w:w="57" w:type="dxa"/>
              <w:right w:w="57" w:type="dxa"/>
            </w:tcMar>
            <w:vAlign w:val="center"/>
          </w:tcPr>
          <w:p w:rsidR="008F6F1F" w:rsidRPr="001D757A" w:rsidRDefault="008F6F1F" w:rsidP="006D7BF1">
            <w:pPr>
              <w:adjustRightInd w:val="0"/>
              <w:spacing w:line="300" w:lineRule="auto"/>
              <w:jc w:val="center"/>
              <w:rPr>
                <w:sz w:val="18"/>
                <w:szCs w:val="18"/>
                <w:highlight w:val="yellow"/>
              </w:rPr>
            </w:pPr>
            <w:r w:rsidRPr="008872A7">
              <w:rPr>
                <w:color w:val="FF0000"/>
                <w:kern w:val="0"/>
                <w:sz w:val="18"/>
                <w:szCs w:val="18"/>
              </w:rPr>
              <w:t>s999033</w:t>
            </w:r>
          </w:p>
        </w:tc>
        <w:tc>
          <w:tcPr>
            <w:tcW w:w="2299" w:type="dxa"/>
            <w:tcMar>
              <w:left w:w="57" w:type="dxa"/>
              <w:right w:w="57" w:type="dxa"/>
            </w:tcMar>
            <w:vAlign w:val="center"/>
          </w:tcPr>
          <w:p w:rsidR="008F6F1F" w:rsidRPr="001D757A" w:rsidRDefault="008F6F1F" w:rsidP="006D7BF1">
            <w:pPr>
              <w:spacing w:line="300" w:lineRule="auto"/>
              <w:jc w:val="center"/>
              <w:rPr>
                <w:sz w:val="18"/>
                <w:szCs w:val="18"/>
                <w:highlight w:val="yellow"/>
              </w:rPr>
            </w:pPr>
            <w:r w:rsidRPr="008872A7">
              <w:rPr>
                <w:color w:val="FF0000"/>
                <w:sz w:val="18"/>
                <w:szCs w:val="18"/>
              </w:rPr>
              <w:t>人文素养选修课</w:t>
            </w:r>
          </w:p>
        </w:tc>
        <w:tc>
          <w:tcPr>
            <w:tcW w:w="552" w:type="dxa"/>
            <w:tcMar>
              <w:left w:w="57" w:type="dxa"/>
              <w:right w:w="57" w:type="dxa"/>
            </w:tcMar>
            <w:vAlign w:val="center"/>
          </w:tcPr>
          <w:p w:rsidR="008F6F1F" w:rsidRPr="00A16F46" w:rsidRDefault="008F6F1F" w:rsidP="006D7BF1">
            <w:pPr>
              <w:adjustRightInd w:val="0"/>
              <w:spacing w:line="300" w:lineRule="auto"/>
              <w:jc w:val="center"/>
              <w:rPr>
                <w:sz w:val="18"/>
                <w:szCs w:val="18"/>
              </w:rPr>
            </w:pPr>
            <w:r w:rsidRPr="008872A7">
              <w:rPr>
                <w:color w:val="FF0000"/>
                <w:sz w:val="18"/>
                <w:szCs w:val="18"/>
              </w:rPr>
              <w:t>16</w:t>
            </w:r>
          </w:p>
        </w:tc>
        <w:tc>
          <w:tcPr>
            <w:tcW w:w="647" w:type="dxa"/>
            <w:tcMar>
              <w:left w:w="57" w:type="dxa"/>
              <w:right w:w="57" w:type="dxa"/>
            </w:tcMar>
            <w:vAlign w:val="center"/>
          </w:tcPr>
          <w:p w:rsidR="008F6F1F" w:rsidRPr="00A16F46" w:rsidRDefault="008F6F1F" w:rsidP="006D7BF1">
            <w:pPr>
              <w:adjustRightInd w:val="0"/>
              <w:spacing w:line="300" w:lineRule="auto"/>
              <w:jc w:val="center"/>
              <w:rPr>
                <w:sz w:val="18"/>
                <w:szCs w:val="18"/>
              </w:rPr>
            </w:pPr>
            <w:r w:rsidRPr="008872A7">
              <w:rPr>
                <w:color w:val="FF0000"/>
                <w:sz w:val="18"/>
                <w:szCs w:val="18"/>
              </w:rPr>
              <w:t>1</w:t>
            </w:r>
          </w:p>
        </w:tc>
        <w:tc>
          <w:tcPr>
            <w:tcW w:w="518" w:type="dxa"/>
            <w:tcMar>
              <w:left w:w="57" w:type="dxa"/>
              <w:right w:w="57" w:type="dxa"/>
            </w:tcMar>
            <w:vAlign w:val="center"/>
          </w:tcPr>
          <w:p w:rsidR="008F6F1F" w:rsidRPr="00A16F46" w:rsidRDefault="008F6F1F" w:rsidP="006D7BF1">
            <w:pPr>
              <w:adjustRightInd w:val="0"/>
              <w:spacing w:line="300" w:lineRule="auto"/>
              <w:jc w:val="center"/>
              <w:rPr>
                <w:kern w:val="0"/>
                <w:sz w:val="18"/>
                <w:szCs w:val="18"/>
              </w:rPr>
            </w:pPr>
            <w:r w:rsidRPr="008872A7">
              <w:rPr>
                <w:rFonts w:hint="eastAsia"/>
                <w:color w:val="FF0000"/>
                <w:sz w:val="18"/>
                <w:szCs w:val="18"/>
              </w:rPr>
              <w:t>1</w:t>
            </w:r>
          </w:p>
        </w:tc>
        <w:tc>
          <w:tcPr>
            <w:tcW w:w="1037" w:type="dxa"/>
            <w:tcMar>
              <w:left w:w="57" w:type="dxa"/>
              <w:right w:w="57" w:type="dxa"/>
            </w:tcMar>
            <w:vAlign w:val="center"/>
          </w:tcPr>
          <w:p w:rsidR="008F6F1F" w:rsidRPr="00A16F46" w:rsidRDefault="008F6F1F" w:rsidP="006D7BF1">
            <w:pPr>
              <w:adjustRightInd w:val="0"/>
              <w:spacing w:line="300" w:lineRule="auto"/>
              <w:jc w:val="center"/>
              <w:rPr>
                <w:kern w:val="0"/>
                <w:sz w:val="18"/>
                <w:szCs w:val="18"/>
              </w:rPr>
            </w:pPr>
            <w:r w:rsidRPr="008872A7">
              <w:rPr>
                <w:color w:val="FF0000"/>
                <w:kern w:val="0"/>
                <w:sz w:val="18"/>
                <w:szCs w:val="18"/>
              </w:rPr>
              <w:t>面授讲课</w:t>
            </w:r>
          </w:p>
        </w:tc>
        <w:tc>
          <w:tcPr>
            <w:tcW w:w="649" w:type="dxa"/>
            <w:tcMar>
              <w:left w:w="57" w:type="dxa"/>
              <w:right w:w="57" w:type="dxa"/>
            </w:tcMar>
            <w:vAlign w:val="center"/>
          </w:tcPr>
          <w:p w:rsidR="008F6F1F" w:rsidRPr="00A16F46" w:rsidRDefault="008F6F1F" w:rsidP="006D7BF1">
            <w:pPr>
              <w:widowControl/>
              <w:spacing w:line="300" w:lineRule="auto"/>
              <w:jc w:val="center"/>
              <w:rPr>
                <w:kern w:val="0"/>
                <w:sz w:val="18"/>
                <w:szCs w:val="18"/>
              </w:rPr>
            </w:pPr>
          </w:p>
        </w:tc>
        <w:tc>
          <w:tcPr>
            <w:tcW w:w="900" w:type="dxa"/>
            <w:vAlign w:val="center"/>
          </w:tcPr>
          <w:p w:rsidR="008F6F1F" w:rsidRPr="00A16F46" w:rsidRDefault="008F6F1F" w:rsidP="006D7BF1">
            <w:pPr>
              <w:adjustRightInd w:val="0"/>
              <w:spacing w:line="300" w:lineRule="auto"/>
              <w:jc w:val="center"/>
              <w:rPr>
                <w:sz w:val="18"/>
                <w:szCs w:val="18"/>
              </w:rPr>
            </w:pPr>
            <w:r>
              <w:rPr>
                <w:rFonts w:hint="eastAsia"/>
                <w:sz w:val="18"/>
                <w:szCs w:val="18"/>
              </w:rPr>
              <w:t>1</w:t>
            </w:r>
            <w:r w:rsidRPr="00A16F46">
              <w:rPr>
                <w:rFonts w:hint="eastAsia"/>
                <w:sz w:val="18"/>
                <w:szCs w:val="18"/>
              </w:rPr>
              <w:t>学分</w:t>
            </w:r>
          </w:p>
        </w:tc>
      </w:tr>
      <w:tr w:rsidR="008F6F1F" w:rsidRPr="00A16F46" w:rsidTr="006D7BF1">
        <w:trPr>
          <w:trHeight w:val="397"/>
        </w:trPr>
        <w:tc>
          <w:tcPr>
            <w:tcW w:w="973" w:type="dxa"/>
            <w:gridSpan w:val="2"/>
            <w:vMerge w:val="restart"/>
            <w:tcMar>
              <w:left w:w="57" w:type="dxa"/>
              <w:right w:w="57" w:type="dxa"/>
            </w:tcMar>
            <w:vAlign w:val="center"/>
          </w:tcPr>
          <w:p w:rsidR="008F6F1F" w:rsidRPr="00A16F46" w:rsidRDefault="008F6F1F" w:rsidP="006D7BF1">
            <w:pPr>
              <w:adjustRightInd w:val="0"/>
              <w:spacing w:line="300" w:lineRule="auto"/>
              <w:jc w:val="center"/>
              <w:rPr>
                <w:sz w:val="18"/>
                <w:szCs w:val="18"/>
              </w:rPr>
            </w:pPr>
            <w:r w:rsidRPr="00A16F46">
              <w:rPr>
                <w:sz w:val="18"/>
                <w:szCs w:val="18"/>
              </w:rPr>
              <w:t>D</w:t>
            </w:r>
          </w:p>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z01201</w:t>
            </w:r>
            <w:r w:rsidRPr="007948FB">
              <w:rPr>
                <w:rFonts w:hint="eastAsia"/>
                <w:sz w:val="18"/>
                <w:szCs w:val="18"/>
                <w:highlight w:val="yellow"/>
              </w:rPr>
              <w:t>9</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当代中国地方政府治理</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考查</w:t>
            </w:r>
          </w:p>
        </w:tc>
        <w:tc>
          <w:tcPr>
            <w:tcW w:w="900" w:type="dxa"/>
            <w:vMerge w:val="restart"/>
            <w:vAlign w:val="center"/>
          </w:tcPr>
          <w:p w:rsidR="008F6F1F" w:rsidRPr="00A16F46" w:rsidRDefault="008F6F1F" w:rsidP="006D7BF1">
            <w:pPr>
              <w:adjustRightInd w:val="0"/>
              <w:spacing w:line="300" w:lineRule="auto"/>
              <w:jc w:val="center"/>
              <w:rPr>
                <w:sz w:val="18"/>
                <w:szCs w:val="18"/>
              </w:rPr>
            </w:pPr>
            <w:r>
              <w:rPr>
                <w:rFonts w:hint="eastAsia"/>
                <w:sz w:val="18"/>
                <w:szCs w:val="18"/>
              </w:rPr>
              <w:t>不少于</w:t>
            </w:r>
            <w:r>
              <w:rPr>
                <w:rFonts w:hint="eastAsia"/>
                <w:sz w:val="18"/>
                <w:szCs w:val="18"/>
              </w:rPr>
              <w:t>7</w:t>
            </w:r>
            <w:r w:rsidRPr="00A16F46">
              <w:rPr>
                <w:rFonts w:hint="eastAsia"/>
                <w:sz w:val="18"/>
                <w:szCs w:val="18"/>
              </w:rPr>
              <w:t>学分</w:t>
            </w: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w:t>
            </w:r>
            <w:r w:rsidRPr="007948FB">
              <w:rPr>
                <w:rFonts w:hint="eastAsia"/>
                <w:sz w:val="18"/>
                <w:szCs w:val="18"/>
                <w:highlight w:val="yellow"/>
              </w:rPr>
              <w:t>73</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公共气象管理基础</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考试</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w:t>
            </w:r>
            <w:r>
              <w:rPr>
                <w:rFonts w:hint="eastAsia"/>
                <w:sz w:val="18"/>
                <w:szCs w:val="18"/>
                <w:highlight w:val="yellow"/>
              </w:rPr>
              <w:t>76</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公共伦理学</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Pr>
                <w:rFonts w:hint="eastAsia"/>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Pr>
                <w:rFonts w:hint="eastAsia"/>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考试</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C70AAE" w:rsidRDefault="008F6F1F" w:rsidP="006D7BF1">
            <w:pPr>
              <w:spacing w:line="0" w:lineRule="atLeast"/>
              <w:jc w:val="center"/>
              <w:rPr>
                <w:sz w:val="18"/>
                <w:szCs w:val="18"/>
              </w:rPr>
            </w:pPr>
            <w:r w:rsidRPr="00C70AAE">
              <w:rPr>
                <w:sz w:val="18"/>
                <w:szCs w:val="18"/>
              </w:rPr>
              <w:t>z01201</w:t>
            </w:r>
            <w:r>
              <w:rPr>
                <w:rFonts w:hint="eastAsia"/>
                <w:sz w:val="18"/>
                <w:szCs w:val="18"/>
              </w:rPr>
              <w:t>3</w:t>
            </w:r>
          </w:p>
        </w:tc>
        <w:tc>
          <w:tcPr>
            <w:tcW w:w="229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社区治理专题</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jc w:val="center"/>
              <w:rPr>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考查</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z01201</w:t>
            </w:r>
            <w:r w:rsidRPr="007948FB">
              <w:rPr>
                <w:rFonts w:hint="eastAsia"/>
                <w:sz w:val="18"/>
                <w:szCs w:val="18"/>
                <w:highlight w:val="yellow"/>
              </w:rPr>
              <w:t>5</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突发事件应急管理</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jc w:val="center"/>
              <w:rPr>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考查</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z01201</w:t>
            </w:r>
            <w:r w:rsidRPr="007948FB">
              <w:rPr>
                <w:rFonts w:hint="eastAsia"/>
                <w:sz w:val="18"/>
                <w:szCs w:val="18"/>
                <w:highlight w:val="yellow"/>
              </w:rPr>
              <w:t>6</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气象法学</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jc w:val="center"/>
              <w:rPr>
                <w:sz w:val="18"/>
                <w:szCs w:val="18"/>
              </w:rPr>
            </w:pPr>
            <w:r>
              <w:rPr>
                <w:rFonts w:hint="eastAsia"/>
                <w:kern w:val="1"/>
                <w:sz w:val="18"/>
                <w:szCs w:val="18"/>
              </w:rPr>
              <w:t>1</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考查</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A16F46" w:rsidTr="006D7BF1">
        <w:trPr>
          <w:trHeight w:val="397"/>
        </w:trPr>
        <w:tc>
          <w:tcPr>
            <w:tcW w:w="973" w:type="dxa"/>
            <w:gridSpan w:val="2"/>
            <w:vMerge/>
            <w:tcMar>
              <w:left w:w="57" w:type="dxa"/>
              <w:right w:w="57" w:type="dxa"/>
            </w:tcMar>
            <w:vAlign w:val="center"/>
          </w:tcPr>
          <w:p w:rsidR="008F6F1F" w:rsidRPr="00A16F46" w:rsidRDefault="008F6F1F" w:rsidP="006D7BF1">
            <w:pPr>
              <w:adjustRightInd w:val="0"/>
              <w:spacing w:line="300" w:lineRule="auto"/>
              <w:jc w:val="center"/>
              <w:rPr>
                <w:sz w:val="18"/>
                <w:szCs w:val="18"/>
              </w:rPr>
            </w:pP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sz w:val="18"/>
                <w:szCs w:val="18"/>
                <w:highlight w:val="yellow"/>
              </w:rPr>
              <w:t>z01201</w:t>
            </w:r>
            <w:r w:rsidRPr="007948FB">
              <w:rPr>
                <w:rFonts w:hint="eastAsia"/>
                <w:sz w:val="18"/>
                <w:szCs w:val="18"/>
                <w:highlight w:val="yellow"/>
              </w:rPr>
              <w:t>8</w:t>
            </w:r>
          </w:p>
        </w:tc>
        <w:tc>
          <w:tcPr>
            <w:tcW w:w="2299" w:type="dxa"/>
            <w:tcMar>
              <w:left w:w="57" w:type="dxa"/>
              <w:right w:w="57" w:type="dxa"/>
            </w:tcMar>
            <w:vAlign w:val="center"/>
          </w:tcPr>
          <w:p w:rsidR="008F6F1F" w:rsidRPr="007948FB" w:rsidRDefault="008F6F1F" w:rsidP="006D7BF1">
            <w:pPr>
              <w:spacing w:line="0" w:lineRule="atLeast"/>
              <w:jc w:val="center"/>
              <w:rPr>
                <w:kern w:val="1"/>
                <w:sz w:val="18"/>
                <w:szCs w:val="18"/>
                <w:highlight w:val="yellow"/>
              </w:rPr>
            </w:pPr>
            <w:r w:rsidRPr="007948FB">
              <w:rPr>
                <w:kern w:val="1"/>
                <w:sz w:val="18"/>
                <w:szCs w:val="18"/>
                <w:highlight w:val="yellow"/>
              </w:rPr>
              <w:t>高等教育管理实务研究</w:t>
            </w:r>
          </w:p>
        </w:tc>
        <w:tc>
          <w:tcPr>
            <w:tcW w:w="552"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32</w:t>
            </w:r>
          </w:p>
        </w:tc>
        <w:tc>
          <w:tcPr>
            <w:tcW w:w="647"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518"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2</w:t>
            </w:r>
          </w:p>
        </w:tc>
        <w:tc>
          <w:tcPr>
            <w:tcW w:w="1037" w:type="dxa"/>
            <w:tcMar>
              <w:left w:w="57" w:type="dxa"/>
              <w:right w:w="57" w:type="dxa"/>
            </w:tcMar>
            <w:vAlign w:val="center"/>
          </w:tcPr>
          <w:p w:rsidR="008F6F1F" w:rsidRPr="00C70AAE" w:rsidRDefault="008F6F1F" w:rsidP="006D7BF1">
            <w:pPr>
              <w:widowControl/>
              <w:spacing w:line="0" w:lineRule="atLeast"/>
              <w:jc w:val="center"/>
              <w:rPr>
                <w:sz w:val="18"/>
                <w:szCs w:val="18"/>
              </w:rPr>
            </w:pPr>
            <w:r w:rsidRPr="00C70AAE">
              <w:rPr>
                <w:sz w:val="18"/>
                <w:szCs w:val="18"/>
              </w:rPr>
              <w:t>面授讲课</w:t>
            </w:r>
          </w:p>
        </w:tc>
        <w:tc>
          <w:tcPr>
            <w:tcW w:w="649" w:type="dxa"/>
            <w:tcMar>
              <w:left w:w="57" w:type="dxa"/>
              <w:right w:w="57" w:type="dxa"/>
            </w:tcMar>
            <w:vAlign w:val="center"/>
          </w:tcPr>
          <w:p w:rsidR="008F6F1F" w:rsidRPr="00C70AAE" w:rsidRDefault="008F6F1F" w:rsidP="006D7BF1">
            <w:pPr>
              <w:spacing w:line="0" w:lineRule="atLeast"/>
              <w:jc w:val="center"/>
              <w:rPr>
                <w:kern w:val="1"/>
                <w:sz w:val="18"/>
                <w:szCs w:val="18"/>
              </w:rPr>
            </w:pPr>
            <w:r w:rsidRPr="00C70AAE">
              <w:rPr>
                <w:kern w:val="1"/>
                <w:sz w:val="18"/>
                <w:szCs w:val="18"/>
              </w:rPr>
              <w:t>考查</w:t>
            </w:r>
          </w:p>
        </w:tc>
        <w:tc>
          <w:tcPr>
            <w:tcW w:w="900" w:type="dxa"/>
            <w:vMerge/>
            <w:vAlign w:val="center"/>
          </w:tcPr>
          <w:p w:rsidR="008F6F1F" w:rsidRPr="00A16F46" w:rsidRDefault="008F6F1F" w:rsidP="006D7BF1">
            <w:pPr>
              <w:adjustRightInd w:val="0"/>
              <w:spacing w:line="300" w:lineRule="auto"/>
              <w:jc w:val="center"/>
              <w:rPr>
                <w:sz w:val="18"/>
                <w:szCs w:val="18"/>
              </w:rPr>
            </w:pPr>
          </w:p>
        </w:tc>
      </w:tr>
      <w:tr w:rsidR="008F6F1F" w:rsidRPr="008A0C2D" w:rsidTr="006D7BF1">
        <w:trPr>
          <w:trHeight w:val="397"/>
        </w:trPr>
        <w:tc>
          <w:tcPr>
            <w:tcW w:w="973" w:type="dxa"/>
            <w:gridSpan w:val="2"/>
            <w:tcMar>
              <w:left w:w="57" w:type="dxa"/>
              <w:right w:w="57" w:type="dxa"/>
            </w:tcMar>
            <w:vAlign w:val="center"/>
          </w:tcPr>
          <w:p w:rsidR="008F6F1F" w:rsidRPr="00A16F46" w:rsidRDefault="008F6F1F" w:rsidP="006D7BF1">
            <w:pPr>
              <w:adjustRightInd w:val="0"/>
              <w:spacing w:line="300" w:lineRule="auto"/>
              <w:jc w:val="center"/>
              <w:rPr>
                <w:sz w:val="18"/>
                <w:szCs w:val="18"/>
              </w:rPr>
            </w:pPr>
            <w:r w:rsidRPr="00A16F46">
              <w:rPr>
                <w:sz w:val="18"/>
                <w:szCs w:val="18"/>
              </w:rPr>
              <w:t>E</w:t>
            </w:r>
          </w:p>
        </w:tc>
        <w:tc>
          <w:tcPr>
            <w:tcW w:w="896" w:type="dxa"/>
            <w:tcMar>
              <w:left w:w="57" w:type="dxa"/>
              <w:right w:w="57" w:type="dxa"/>
            </w:tcMar>
            <w:vAlign w:val="center"/>
          </w:tcPr>
          <w:p w:rsidR="008F6F1F" w:rsidRPr="007948FB" w:rsidRDefault="008F6F1F" w:rsidP="006D7BF1">
            <w:pPr>
              <w:spacing w:line="0" w:lineRule="atLeast"/>
              <w:jc w:val="center"/>
              <w:rPr>
                <w:sz w:val="18"/>
                <w:szCs w:val="18"/>
                <w:highlight w:val="yellow"/>
              </w:rPr>
            </w:pPr>
            <w:r w:rsidRPr="007948FB">
              <w:rPr>
                <w:rFonts w:hint="eastAsia"/>
                <w:sz w:val="18"/>
                <w:szCs w:val="18"/>
                <w:highlight w:val="yellow"/>
              </w:rPr>
              <w:t>z012074</w:t>
            </w:r>
          </w:p>
        </w:tc>
        <w:tc>
          <w:tcPr>
            <w:tcW w:w="2299" w:type="dxa"/>
            <w:tcMar>
              <w:left w:w="57" w:type="dxa"/>
              <w:right w:w="57" w:type="dxa"/>
            </w:tcMar>
            <w:vAlign w:val="center"/>
          </w:tcPr>
          <w:p w:rsidR="008F6F1F" w:rsidRPr="007948FB" w:rsidRDefault="008F6F1F" w:rsidP="006D7BF1">
            <w:pPr>
              <w:spacing w:line="300" w:lineRule="auto"/>
              <w:jc w:val="center"/>
              <w:rPr>
                <w:sz w:val="18"/>
                <w:szCs w:val="18"/>
                <w:highlight w:val="yellow"/>
              </w:rPr>
            </w:pPr>
            <w:r w:rsidRPr="007948FB">
              <w:rPr>
                <w:rFonts w:hint="eastAsia"/>
                <w:sz w:val="18"/>
                <w:szCs w:val="18"/>
                <w:highlight w:val="yellow"/>
              </w:rPr>
              <w:t>专业实践</w:t>
            </w:r>
          </w:p>
        </w:tc>
        <w:tc>
          <w:tcPr>
            <w:tcW w:w="552" w:type="dxa"/>
            <w:tcMar>
              <w:left w:w="57" w:type="dxa"/>
              <w:right w:w="57" w:type="dxa"/>
            </w:tcMar>
            <w:vAlign w:val="center"/>
          </w:tcPr>
          <w:p w:rsidR="008F6F1F" w:rsidRPr="00A16F46" w:rsidRDefault="008F6F1F" w:rsidP="006D7BF1">
            <w:pPr>
              <w:adjustRightInd w:val="0"/>
              <w:spacing w:line="300" w:lineRule="auto"/>
              <w:jc w:val="center"/>
              <w:rPr>
                <w:kern w:val="0"/>
                <w:sz w:val="18"/>
                <w:szCs w:val="18"/>
              </w:rPr>
            </w:pPr>
            <w:r w:rsidRPr="00A16F46">
              <w:rPr>
                <w:kern w:val="0"/>
                <w:sz w:val="18"/>
                <w:szCs w:val="18"/>
              </w:rPr>
              <w:t>64</w:t>
            </w:r>
          </w:p>
        </w:tc>
        <w:tc>
          <w:tcPr>
            <w:tcW w:w="647" w:type="dxa"/>
            <w:tcMar>
              <w:left w:w="57" w:type="dxa"/>
              <w:right w:w="57" w:type="dxa"/>
            </w:tcMar>
            <w:vAlign w:val="center"/>
          </w:tcPr>
          <w:p w:rsidR="008F6F1F" w:rsidRPr="00A16F46" w:rsidRDefault="008F6F1F" w:rsidP="006D7BF1">
            <w:pPr>
              <w:adjustRightInd w:val="0"/>
              <w:spacing w:line="300" w:lineRule="auto"/>
              <w:jc w:val="center"/>
              <w:rPr>
                <w:kern w:val="0"/>
                <w:sz w:val="18"/>
                <w:szCs w:val="18"/>
              </w:rPr>
            </w:pPr>
            <w:r w:rsidRPr="00A16F46">
              <w:rPr>
                <w:kern w:val="0"/>
                <w:sz w:val="18"/>
                <w:szCs w:val="18"/>
              </w:rPr>
              <w:t>4</w:t>
            </w:r>
          </w:p>
        </w:tc>
        <w:tc>
          <w:tcPr>
            <w:tcW w:w="518" w:type="dxa"/>
            <w:tcMar>
              <w:left w:w="57" w:type="dxa"/>
              <w:right w:w="57" w:type="dxa"/>
            </w:tcMar>
            <w:vAlign w:val="center"/>
          </w:tcPr>
          <w:p w:rsidR="008F6F1F" w:rsidRPr="00A16F46" w:rsidRDefault="008F6F1F" w:rsidP="006D7BF1">
            <w:pPr>
              <w:widowControl/>
              <w:spacing w:line="300" w:lineRule="auto"/>
              <w:jc w:val="center"/>
              <w:rPr>
                <w:kern w:val="0"/>
                <w:sz w:val="18"/>
                <w:szCs w:val="18"/>
              </w:rPr>
            </w:pPr>
            <w:r w:rsidRPr="00A16F46">
              <w:rPr>
                <w:kern w:val="0"/>
                <w:sz w:val="18"/>
                <w:szCs w:val="18"/>
              </w:rPr>
              <w:t>4</w:t>
            </w:r>
          </w:p>
        </w:tc>
        <w:tc>
          <w:tcPr>
            <w:tcW w:w="1037" w:type="dxa"/>
            <w:tcMar>
              <w:left w:w="57" w:type="dxa"/>
              <w:right w:w="57" w:type="dxa"/>
            </w:tcMar>
            <w:vAlign w:val="center"/>
          </w:tcPr>
          <w:p w:rsidR="008F6F1F" w:rsidRPr="00A16F46" w:rsidRDefault="008F6F1F" w:rsidP="006D7BF1">
            <w:pPr>
              <w:widowControl/>
              <w:spacing w:line="300" w:lineRule="auto"/>
              <w:jc w:val="center"/>
              <w:rPr>
                <w:kern w:val="0"/>
                <w:sz w:val="18"/>
                <w:szCs w:val="18"/>
              </w:rPr>
            </w:pPr>
            <w:r w:rsidRPr="00A16F46">
              <w:rPr>
                <w:rFonts w:hint="eastAsia"/>
                <w:kern w:val="0"/>
                <w:sz w:val="18"/>
                <w:szCs w:val="18"/>
              </w:rPr>
              <w:t>校外实习</w:t>
            </w:r>
          </w:p>
        </w:tc>
        <w:tc>
          <w:tcPr>
            <w:tcW w:w="649" w:type="dxa"/>
            <w:tcMar>
              <w:left w:w="57" w:type="dxa"/>
              <w:right w:w="57" w:type="dxa"/>
            </w:tcMar>
            <w:vAlign w:val="center"/>
          </w:tcPr>
          <w:p w:rsidR="008F6F1F" w:rsidRPr="00A16F46" w:rsidRDefault="008F6F1F" w:rsidP="006D7BF1">
            <w:pPr>
              <w:spacing w:line="300" w:lineRule="auto"/>
              <w:jc w:val="center"/>
              <w:rPr>
                <w:sz w:val="18"/>
                <w:szCs w:val="18"/>
              </w:rPr>
            </w:pPr>
            <w:r w:rsidRPr="00A16F46">
              <w:rPr>
                <w:rFonts w:hint="eastAsia"/>
                <w:sz w:val="18"/>
                <w:szCs w:val="18"/>
              </w:rPr>
              <w:t>其他</w:t>
            </w:r>
          </w:p>
        </w:tc>
        <w:tc>
          <w:tcPr>
            <w:tcW w:w="900" w:type="dxa"/>
            <w:vAlign w:val="center"/>
          </w:tcPr>
          <w:p w:rsidR="008F6F1F" w:rsidRPr="00A16F46" w:rsidRDefault="008F6F1F" w:rsidP="006D7BF1">
            <w:pPr>
              <w:adjustRightInd w:val="0"/>
              <w:spacing w:line="300" w:lineRule="auto"/>
              <w:jc w:val="center"/>
              <w:rPr>
                <w:sz w:val="18"/>
                <w:szCs w:val="18"/>
              </w:rPr>
            </w:pPr>
            <w:r w:rsidRPr="00A16F46">
              <w:rPr>
                <w:sz w:val="18"/>
                <w:szCs w:val="18"/>
              </w:rPr>
              <w:t>4</w:t>
            </w:r>
            <w:r w:rsidRPr="00A16F46">
              <w:rPr>
                <w:rFonts w:hint="eastAsia"/>
                <w:sz w:val="18"/>
                <w:szCs w:val="18"/>
              </w:rPr>
              <w:t>学分</w:t>
            </w:r>
          </w:p>
        </w:tc>
      </w:tr>
    </w:tbl>
    <w:p w:rsidR="008F6F1F" w:rsidRPr="00097E60" w:rsidRDefault="008F6F1F" w:rsidP="008F6F1F">
      <w:pPr>
        <w:spacing w:line="360" w:lineRule="auto"/>
        <w:ind w:leftChars="-135" w:left="-283" w:firstLineChars="134" w:firstLine="242"/>
        <w:rPr>
          <w:b/>
          <w:sz w:val="18"/>
          <w:szCs w:val="18"/>
        </w:rPr>
      </w:pPr>
      <w:r w:rsidRPr="00097E60">
        <w:rPr>
          <w:rFonts w:hint="eastAsia"/>
          <w:b/>
          <w:sz w:val="18"/>
          <w:szCs w:val="18"/>
        </w:rPr>
        <w:t>注：</w:t>
      </w:r>
      <w:r w:rsidRPr="00097E60">
        <w:rPr>
          <w:rFonts w:hint="eastAsia"/>
          <w:b/>
          <w:sz w:val="18"/>
          <w:szCs w:val="18"/>
        </w:rPr>
        <w:t>A</w:t>
      </w:r>
      <w:r w:rsidRPr="00097E60">
        <w:rPr>
          <w:rFonts w:hint="eastAsia"/>
          <w:b/>
          <w:sz w:val="18"/>
          <w:szCs w:val="18"/>
        </w:rPr>
        <w:t>公共基础课</w:t>
      </w:r>
      <w:r w:rsidRPr="00097E60">
        <w:rPr>
          <w:rFonts w:hint="eastAsia"/>
          <w:b/>
          <w:sz w:val="18"/>
          <w:szCs w:val="18"/>
        </w:rPr>
        <w:t xml:space="preserve">    B</w:t>
      </w:r>
      <w:r w:rsidRPr="00097E60">
        <w:rPr>
          <w:rFonts w:hint="eastAsia"/>
          <w:b/>
          <w:sz w:val="18"/>
          <w:szCs w:val="18"/>
        </w:rPr>
        <w:t>专业基础课</w:t>
      </w:r>
      <w:r w:rsidRPr="00097E60">
        <w:rPr>
          <w:rFonts w:hint="eastAsia"/>
          <w:b/>
          <w:sz w:val="18"/>
          <w:szCs w:val="18"/>
        </w:rPr>
        <w:t xml:space="preserve">     C</w:t>
      </w:r>
      <w:r w:rsidRPr="00097E60">
        <w:rPr>
          <w:rFonts w:hint="eastAsia"/>
          <w:b/>
          <w:sz w:val="18"/>
          <w:szCs w:val="18"/>
        </w:rPr>
        <w:t>限选课</w:t>
      </w:r>
      <w:r w:rsidRPr="00097E60">
        <w:rPr>
          <w:rFonts w:hint="eastAsia"/>
          <w:b/>
          <w:sz w:val="18"/>
          <w:szCs w:val="18"/>
        </w:rPr>
        <w:t xml:space="preserve">     D </w:t>
      </w:r>
      <w:r w:rsidRPr="00097E60">
        <w:rPr>
          <w:rFonts w:hint="eastAsia"/>
          <w:b/>
          <w:sz w:val="18"/>
          <w:szCs w:val="18"/>
        </w:rPr>
        <w:t>专业选修课</w:t>
      </w:r>
      <w:r w:rsidRPr="00097E60">
        <w:rPr>
          <w:rFonts w:hint="eastAsia"/>
          <w:b/>
          <w:sz w:val="18"/>
          <w:szCs w:val="18"/>
        </w:rPr>
        <w:t xml:space="preserve">    E</w:t>
      </w:r>
      <w:r w:rsidRPr="00097E60">
        <w:rPr>
          <w:rFonts w:hint="eastAsia"/>
          <w:b/>
          <w:sz w:val="18"/>
          <w:szCs w:val="18"/>
        </w:rPr>
        <w:t>实践环节</w:t>
      </w:r>
    </w:p>
    <w:p w:rsidR="00D10B6D" w:rsidRPr="008F6F1F" w:rsidRDefault="00D10B6D"/>
    <w:sectPr w:rsidR="00D10B6D" w:rsidRPr="008F6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F"/>
    <w:rsid w:val="004340FC"/>
    <w:rsid w:val="00815B94"/>
    <w:rsid w:val="008F6F1F"/>
    <w:rsid w:val="00D10B6D"/>
    <w:rsid w:val="00F35101"/>
    <w:rsid w:val="00FF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1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F6F1F"/>
    <w:pPr>
      <w:keepNext/>
      <w:keepLines/>
      <w:spacing w:line="360" w:lineRule="auto"/>
      <w:jc w:val="center"/>
      <w:outlineLvl w:val="0"/>
    </w:pPr>
    <w:rPr>
      <w:rFonts w:eastAsia="楷体"/>
      <w:b/>
      <w:bCs/>
      <w:kern w:val="44"/>
      <w:sz w:val="36"/>
      <w:szCs w:val="44"/>
    </w:rPr>
  </w:style>
  <w:style w:type="paragraph" w:styleId="2">
    <w:name w:val="heading 2"/>
    <w:basedOn w:val="a"/>
    <w:next w:val="a"/>
    <w:link w:val="2Char"/>
    <w:uiPriority w:val="9"/>
    <w:unhideWhenUsed/>
    <w:qFormat/>
    <w:rsid w:val="008F6F1F"/>
    <w:pPr>
      <w:keepNext/>
      <w:keepLines/>
      <w:jc w:val="center"/>
      <w:outlineLvl w:val="1"/>
    </w:pPr>
    <w:rPr>
      <w:rFonts w:asciiTheme="majorHAnsi" w:eastAsia="楷体" w:hAnsiTheme="majorHAnsi" w:cstheme="majorBidi"/>
      <w:b/>
      <w:bCs/>
      <w:sz w:val="28"/>
      <w:szCs w:val="32"/>
    </w:rPr>
  </w:style>
  <w:style w:type="paragraph" w:styleId="3">
    <w:name w:val="heading 3"/>
    <w:basedOn w:val="4"/>
    <w:next w:val="a"/>
    <w:link w:val="3Char"/>
    <w:uiPriority w:val="9"/>
    <w:unhideWhenUsed/>
    <w:qFormat/>
    <w:rsid w:val="008F6F1F"/>
    <w:pPr>
      <w:keepNext w:val="0"/>
      <w:keepLines w:val="0"/>
      <w:spacing w:before="0" w:after="0" w:line="300" w:lineRule="auto"/>
      <w:ind w:firstLineChars="200" w:firstLine="420"/>
      <w:outlineLvl w:val="2"/>
    </w:pPr>
    <w:rPr>
      <w:rFonts w:asciiTheme="minorEastAsia" w:eastAsiaTheme="minorEastAsia" w:hAnsiTheme="minorEastAsia" w:cs="Times New Roman"/>
      <w:b w:val="0"/>
      <w:bCs w:val="0"/>
      <w:sz w:val="21"/>
      <w:szCs w:val="21"/>
    </w:rPr>
  </w:style>
  <w:style w:type="paragraph" w:styleId="4">
    <w:name w:val="heading 4"/>
    <w:basedOn w:val="a"/>
    <w:next w:val="a"/>
    <w:link w:val="4Char"/>
    <w:uiPriority w:val="9"/>
    <w:semiHidden/>
    <w:unhideWhenUsed/>
    <w:qFormat/>
    <w:rsid w:val="008F6F1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6F1F"/>
    <w:rPr>
      <w:rFonts w:ascii="Times New Roman" w:eastAsia="楷体" w:hAnsi="Times New Roman" w:cs="Times New Roman"/>
      <w:b/>
      <w:bCs/>
      <w:kern w:val="44"/>
      <w:sz w:val="36"/>
      <w:szCs w:val="44"/>
    </w:rPr>
  </w:style>
  <w:style w:type="character" w:customStyle="1" w:styleId="2Char">
    <w:name w:val="标题 2 Char"/>
    <w:basedOn w:val="a0"/>
    <w:link w:val="2"/>
    <w:uiPriority w:val="9"/>
    <w:rsid w:val="008F6F1F"/>
    <w:rPr>
      <w:rFonts w:asciiTheme="majorHAnsi" w:eastAsia="楷体" w:hAnsiTheme="majorHAnsi" w:cstheme="majorBidi"/>
      <w:b/>
      <w:bCs/>
      <w:sz w:val="28"/>
      <w:szCs w:val="32"/>
    </w:rPr>
  </w:style>
  <w:style w:type="character" w:customStyle="1" w:styleId="3Char">
    <w:name w:val="标题 3 Char"/>
    <w:basedOn w:val="a0"/>
    <w:link w:val="3"/>
    <w:uiPriority w:val="9"/>
    <w:rsid w:val="008F6F1F"/>
    <w:rPr>
      <w:rFonts w:asciiTheme="minorEastAsia" w:hAnsiTheme="minorEastAsia" w:cs="Times New Roman"/>
      <w:szCs w:val="21"/>
    </w:rPr>
  </w:style>
  <w:style w:type="character" w:customStyle="1" w:styleId="4Char">
    <w:name w:val="标题 4 Char"/>
    <w:basedOn w:val="a0"/>
    <w:link w:val="4"/>
    <w:uiPriority w:val="9"/>
    <w:semiHidden/>
    <w:rsid w:val="008F6F1F"/>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1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F6F1F"/>
    <w:pPr>
      <w:keepNext/>
      <w:keepLines/>
      <w:spacing w:line="360" w:lineRule="auto"/>
      <w:jc w:val="center"/>
      <w:outlineLvl w:val="0"/>
    </w:pPr>
    <w:rPr>
      <w:rFonts w:eastAsia="楷体"/>
      <w:b/>
      <w:bCs/>
      <w:kern w:val="44"/>
      <w:sz w:val="36"/>
      <w:szCs w:val="44"/>
    </w:rPr>
  </w:style>
  <w:style w:type="paragraph" w:styleId="2">
    <w:name w:val="heading 2"/>
    <w:basedOn w:val="a"/>
    <w:next w:val="a"/>
    <w:link w:val="2Char"/>
    <w:uiPriority w:val="9"/>
    <w:unhideWhenUsed/>
    <w:qFormat/>
    <w:rsid w:val="008F6F1F"/>
    <w:pPr>
      <w:keepNext/>
      <w:keepLines/>
      <w:jc w:val="center"/>
      <w:outlineLvl w:val="1"/>
    </w:pPr>
    <w:rPr>
      <w:rFonts w:asciiTheme="majorHAnsi" w:eastAsia="楷体" w:hAnsiTheme="majorHAnsi" w:cstheme="majorBidi"/>
      <w:b/>
      <w:bCs/>
      <w:sz w:val="28"/>
      <w:szCs w:val="32"/>
    </w:rPr>
  </w:style>
  <w:style w:type="paragraph" w:styleId="3">
    <w:name w:val="heading 3"/>
    <w:basedOn w:val="4"/>
    <w:next w:val="a"/>
    <w:link w:val="3Char"/>
    <w:uiPriority w:val="9"/>
    <w:unhideWhenUsed/>
    <w:qFormat/>
    <w:rsid w:val="008F6F1F"/>
    <w:pPr>
      <w:keepNext w:val="0"/>
      <w:keepLines w:val="0"/>
      <w:spacing w:before="0" w:after="0" w:line="300" w:lineRule="auto"/>
      <w:ind w:firstLineChars="200" w:firstLine="420"/>
      <w:outlineLvl w:val="2"/>
    </w:pPr>
    <w:rPr>
      <w:rFonts w:asciiTheme="minorEastAsia" w:eastAsiaTheme="minorEastAsia" w:hAnsiTheme="minorEastAsia" w:cs="Times New Roman"/>
      <w:b w:val="0"/>
      <w:bCs w:val="0"/>
      <w:sz w:val="21"/>
      <w:szCs w:val="21"/>
    </w:rPr>
  </w:style>
  <w:style w:type="paragraph" w:styleId="4">
    <w:name w:val="heading 4"/>
    <w:basedOn w:val="a"/>
    <w:next w:val="a"/>
    <w:link w:val="4Char"/>
    <w:uiPriority w:val="9"/>
    <w:semiHidden/>
    <w:unhideWhenUsed/>
    <w:qFormat/>
    <w:rsid w:val="008F6F1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6F1F"/>
    <w:rPr>
      <w:rFonts w:ascii="Times New Roman" w:eastAsia="楷体" w:hAnsi="Times New Roman" w:cs="Times New Roman"/>
      <w:b/>
      <w:bCs/>
      <w:kern w:val="44"/>
      <w:sz w:val="36"/>
      <w:szCs w:val="44"/>
    </w:rPr>
  </w:style>
  <w:style w:type="character" w:customStyle="1" w:styleId="2Char">
    <w:name w:val="标题 2 Char"/>
    <w:basedOn w:val="a0"/>
    <w:link w:val="2"/>
    <w:uiPriority w:val="9"/>
    <w:rsid w:val="008F6F1F"/>
    <w:rPr>
      <w:rFonts w:asciiTheme="majorHAnsi" w:eastAsia="楷体" w:hAnsiTheme="majorHAnsi" w:cstheme="majorBidi"/>
      <w:b/>
      <w:bCs/>
      <w:sz w:val="28"/>
      <w:szCs w:val="32"/>
    </w:rPr>
  </w:style>
  <w:style w:type="character" w:customStyle="1" w:styleId="3Char">
    <w:name w:val="标题 3 Char"/>
    <w:basedOn w:val="a0"/>
    <w:link w:val="3"/>
    <w:uiPriority w:val="9"/>
    <w:rsid w:val="008F6F1F"/>
    <w:rPr>
      <w:rFonts w:asciiTheme="minorEastAsia" w:hAnsiTheme="minorEastAsia" w:cs="Times New Roman"/>
      <w:szCs w:val="21"/>
    </w:rPr>
  </w:style>
  <w:style w:type="character" w:customStyle="1" w:styleId="4Char">
    <w:name w:val="标题 4 Char"/>
    <w:basedOn w:val="a0"/>
    <w:link w:val="4"/>
    <w:uiPriority w:val="9"/>
    <w:semiHidden/>
    <w:rsid w:val="008F6F1F"/>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dyx</dc:creator>
  <cp:lastModifiedBy>dyx</cp:lastModifiedBy>
  <cp:revision>3</cp:revision>
  <dcterms:created xsi:type="dcterms:W3CDTF">2018-09-09T02:26:00Z</dcterms:created>
  <dcterms:modified xsi:type="dcterms:W3CDTF">2018-09-09T02:29:00Z</dcterms:modified>
</cp:coreProperties>
</file>